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B67B8" w14:textId="77777777" w:rsidR="003B4276" w:rsidRPr="008933E6" w:rsidRDefault="003B4276" w:rsidP="00816B9C">
      <w:pPr>
        <w:pStyle w:val="BodyText"/>
        <w:spacing w:after="0" w:line="240" w:lineRule="auto"/>
        <w:outlineLvl w:val="0"/>
        <w:rPr>
          <w:szCs w:val="24"/>
        </w:rPr>
        <w:sectPr w:rsidR="003B4276" w:rsidRPr="008933E6" w:rsidSect="00176881">
          <w:headerReference w:type="even" r:id="rId8"/>
          <w:headerReference w:type="default" r:id="rId9"/>
          <w:footerReference w:type="even" r:id="rId10"/>
          <w:footerReference w:type="first" r:id="rId11"/>
          <w:type w:val="continuous"/>
          <w:pgSz w:w="11906" w:h="16838" w:code="9"/>
          <w:pgMar w:top="142" w:right="1418" w:bottom="1418" w:left="1418" w:header="680" w:footer="624" w:gutter="0"/>
          <w:cols w:space="708"/>
          <w:titlePg/>
          <w:docGrid w:linePitch="326"/>
        </w:sectPr>
      </w:pPr>
    </w:p>
    <w:p w14:paraId="6EEB67B9" w14:textId="77777777" w:rsidR="003D6C48" w:rsidRPr="008933E6" w:rsidRDefault="003D6C48" w:rsidP="00816B9C">
      <w:pPr>
        <w:outlineLvl w:val="0"/>
        <w:rPr>
          <w:szCs w:val="24"/>
        </w:rPr>
      </w:pPr>
    </w:p>
    <w:p w14:paraId="6EEB67BA" w14:textId="3B6C41DE" w:rsidR="005A7925" w:rsidRPr="008933E6" w:rsidRDefault="0060454D" w:rsidP="00816B9C">
      <w:pPr>
        <w:outlineLvl w:val="0"/>
        <w:rPr>
          <w:szCs w:val="24"/>
        </w:rPr>
      </w:pPr>
      <w:r w:rsidRPr="008933E6">
        <w:rPr>
          <w:noProof/>
          <w:szCs w:val="24"/>
          <w:lang w:eastAsia="et-EE"/>
        </w:rPr>
        <w:drawing>
          <wp:anchor distT="0" distB="0" distL="114300" distR="114300" simplePos="0" relativeHeight="251658752" behindDoc="0" locked="0" layoutInCell="1" allowOverlap="1" wp14:anchorId="6EEB67F3" wp14:editId="6EEB67F4">
            <wp:simplePos x="0" y="0"/>
            <wp:positionH relativeFrom="margin">
              <wp:align>left</wp:align>
            </wp:positionH>
            <wp:positionV relativeFrom="paragraph">
              <wp:posOffset>20955</wp:posOffset>
            </wp:positionV>
            <wp:extent cx="893129" cy="811987"/>
            <wp:effectExtent l="0" t="0" r="2540" b="7620"/>
            <wp:wrapThrough wrapText="bothSides">
              <wp:wrapPolygon edited="0">
                <wp:start x="0" y="0"/>
                <wp:lineTo x="0" y="21296"/>
                <wp:lineTo x="21201" y="21296"/>
                <wp:lineTo x="2120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93129" cy="811987"/>
                    </a:xfrm>
                    <a:prstGeom prst="rect">
                      <a:avLst/>
                    </a:prstGeom>
                  </pic:spPr>
                </pic:pic>
              </a:graphicData>
            </a:graphic>
            <wp14:sizeRelH relativeFrom="page">
              <wp14:pctWidth>0</wp14:pctWidth>
            </wp14:sizeRelH>
            <wp14:sizeRelV relativeFrom="page">
              <wp14:pctHeight>0</wp14:pctHeight>
            </wp14:sizeRelV>
          </wp:anchor>
        </w:drawing>
      </w:r>
    </w:p>
    <w:p w14:paraId="6EEB67BB" w14:textId="77777777" w:rsidR="000D008B" w:rsidRPr="008933E6" w:rsidRDefault="000D008B" w:rsidP="00816B9C">
      <w:pPr>
        <w:outlineLvl w:val="0"/>
        <w:rPr>
          <w:szCs w:val="24"/>
        </w:rPr>
      </w:pPr>
    </w:p>
    <w:p w14:paraId="6EEB67BC" w14:textId="77777777" w:rsidR="000D008B" w:rsidRPr="008933E6" w:rsidRDefault="000D008B" w:rsidP="00816B9C">
      <w:pPr>
        <w:outlineLvl w:val="0"/>
        <w:rPr>
          <w:szCs w:val="24"/>
        </w:rPr>
      </w:pPr>
    </w:p>
    <w:p w14:paraId="6EEB67BD" w14:textId="77777777" w:rsidR="000D008B" w:rsidRPr="008933E6" w:rsidRDefault="000D008B" w:rsidP="00816B9C">
      <w:pPr>
        <w:outlineLvl w:val="0"/>
        <w:rPr>
          <w:szCs w:val="24"/>
        </w:rPr>
      </w:pPr>
    </w:p>
    <w:p w14:paraId="6EEB67BE" w14:textId="77777777" w:rsidR="000D008B" w:rsidRPr="008933E6" w:rsidRDefault="000D008B" w:rsidP="00816B9C">
      <w:pPr>
        <w:outlineLvl w:val="0"/>
        <w:rPr>
          <w:szCs w:val="24"/>
        </w:rPr>
      </w:pPr>
    </w:p>
    <w:p w14:paraId="6EEB67BF" w14:textId="77777777" w:rsidR="000D008B" w:rsidRPr="008933E6" w:rsidRDefault="000D008B" w:rsidP="00816B9C">
      <w:pPr>
        <w:outlineLvl w:val="0"/>
        <w:rPr>
          <w:szCs w:val="24"/>
        </w:rPr>
      </w:pPr>
    </w:p>
    <w:p w14:paraId="6EEB67C0" w14:textId="77777777" w:rsidR="00305DE1" w:rsidRPr="008933E6" w:rsidRDefault="00305DE1" w:rsidP="00816B9C">
      <w:pPr>
        <w:outlineLvl w:val="0"/>
        <w:rPr>
          <w:szCs w:val="24"/>
        </w:rPr>
      </w:pPr>
    </w:p>
    <w:p w14:paraId="6EEB67C1" w14:textId="77777777" w:rsidR="00305DE1" w:rsidRPr="008933E6" w:rsidRDefault="00305DE1" w:rsidP="00816B9C">
      <w:pPr>
        <w:outlineLvl w:val="0"/>
        <w:rPr>
          <w:szCs w:val="24"/>
        </w:rPr>
      </w:pPr>
    </w:p>
    <w:p w14:paraId="6EEB67C2" w14:textId="77777777" w:rsidR="00D57137" w:rsidRPr="008933E6" w:rsidRDefault="00D57137" w:rsidP="00816B9C">
      <w:pPr>
        <w:outlineLvl w:val="0"/>
        <w:rPr>
          <w:szCs w:val="24"/>
        </w:rPr>
      </w:pPr>
    </w:p>
    <w:p w14:paraId="19F415EE" w14:textId="77777777" w:rsidR="00E66EB2" w:rsidRPr="008933E6" w:rsidRDefault="00E66EB2" w:rsidP="00816B9C">
      <w:pPr>
        <w:outlineLvl w:val="0"/>
        <w:rPr>
          <w:b/>
          <w:szCs w:val="24"/>
        </w:rPr>
      </w:pPr>
    </w:p>
    <w:p w14:paraId="43FA1D5C" w14:textId="3858AC82" w:rsidR="00E66EB2" w:rsidRPr="008933E6" w:rsidRDefault="003022D1" w:rsidP="002A21C1">
      <w:pPr>
        <w:pStyle w:val="Heading2"/>
        <w:numPr>
          <w:ilvl w:val="0"/>
          <w:numId w:val="0"/>
        </w:numPr>
        <w:spacing w:before="0" w:after="0"/>
        <w:ind w:firstLine="142"/>
        <w:contextualSpacing/>
        <w:rPr>
          <w:rFonts w:ascii="Times New Roman" w:hAnsi="Times New Roman"/>
          <w:bCs/>
          <w:sz w:val="24"/>
        </w:rPr>
      </w:pPr>
      <w:r>
        <w:rPr>
          <w:rFonts w:ascii="Times New Roman" w:hAnsi="Times New Roman"/>
          <w:bCs/>
          <w:sz w:val="24"/>
        </w:rPr>
        <w:t>Pakkumuse esitamise ettepanek ja h</w:t>
      </w:r>
      <w:r w:rsidR="00403534" w:rsidRPr="008933E6">
        <w:rPr>
          <w:rFonts w:ascii="Times New Roman" w:hAnsi="Times New Roman"/>
          <w:bCs/>
          <w:sz w:val="24"/>
        </w:rPr>
        <w:t>anke</w:t>
      </w:r>
      <w:r w:rsidR="00DD1961">
        <w:rPr>
          <w:rFonts w:ascii="Times New Roman" w:hAnsi="Times New Roman"/>
          <w:bCs/>
          <w:sz w:val="24"/>
        </w:rPr>
        <w:t xml:space="preserve"> alus</w:t>
      </w:r>
      <w:r w:rsidR="00403534" w:rsidRPr="008933E6">
        <w:rPr>
          <w:rFonts w:ascii="Times New Roman" w:hAnsi="Times New Roman"/>
          <w:bCs/>
          <w:sz w:val="24"/>
        </w:rPr>
        <w:t xml:space="preserve">dokumendid avatud hankemenetluses </w:t>
      </w:r>
      <w:r w:rsidR="002A21C1" w:rsidRPr="00E4254E">
        <w:rPr>
          <w:rFonts w:ascii="Times New Roman" w:hAnsi="Times New Roman"/>
          <w:sz w:val="24"/>
        </w:rPr>
        <w:t>„</w:t>
      </w:r>
      <w:r w:rsidR="002A21C1" w:rsidRPr="00E4254E">
        <w:rPr>
          <w:rFonts w:ascii="Times New Roman" w:hAnsi="Times New Roman"/>
          <w:sz w:val="24"/>
          <w:shd w:val="clear" w:color="auto" w:fill="FFFFFF"/>
        </w:rPr>
        <w:t>Raadiolinkide seadmete, arendus- ja hooldustööde ostmine“</w:t>
      </w:r>
      <w:r w:rsidR="002A21C1" w:rsidRPr="00E4254E">
        <w:rPr>
          <w:rFonts w:ascii="Times New Roman" w:hAnsi="Times New Roman"/>
          <w:sz w:val="24"/>
        </w:rPr>
        <w:t xml:space="preserve"> </w:t>
      </w:r>
      <w:r w:rsidR="004D0159">
        <w:rPr>
          <w:rFonts w:ascii="Times New Roman" w:hAnsi="Times New Roman"/>
          <w:bCs/>
          <w:sz w:val="24"/>
        </w:rPr>
        <w:t xml:space="preserve"> </w:t>
      </w:r>
      <w:r w:rsidR="00403534" w:rsidRPr="008933E6">
        <w:rPr>
          <w:rFonts w:ascii="Times New Roman" w:hAnsi="Times New Roman"/>
          <w:bCs/>
          <w:sz w:val="24"/>
        </w:rPr>
        <w:t>(</w:t>
      </w:r>
      <w:r w:rsidR="00001B68" w:rsidRPr="00F74D31">
        <w:rPr>
          <w:rFonts w:ascii="Times New Roman" w:hAnsi="Times New Roman"/>
          <w:color w:val="2D2C2D"/>
          <w:sz w:val="24"/>
          <w:shd w:val="clear" w:color="auto" w:fill="FFFFFF"/>
        </w:rPr>
        <w:t>2</w:t>
      </w:r>
      <w:r w:rsidR="00001B68">
        <w:rPr>
          <w:rFonts w:ascii="Times New Roman" w:hAnsi="Times New Roman"/>
          <w:color w:val="2D2C2D"/>
          <w:sz w:val="24"/>
          <w:shd w:val="clear" w:color="auto" w:fill="FFFFFF"/>
        </w:rPr>
        <w:t>64675</w:t>
      </w:r>
      <w:r w:rsidR="00403534" w:rsidRPr="008933E6">
        <w:rPr>
          <w:rFonts w:ascii="Times New Roman" w:hAnsi="Times New Roman"/>
          <w:bCs/>
          <w:sz w:val="24"/>
        </w:rPr>
        <w:t>)</w:t>
      </w:r>
    </w:p>
    <w:p w14:paraId="1884F927" w14:textId="095AD249" w:rsidR="00403534" w:rsidRPr="008933E6" w:rsidRDefault="004D0159" w:rsidP="00816B9C">
      <w:pPr>
        <w:outlineLvl w:val="0"/>
        <w:rPr>
          <w:szCs w:val="24"/>
        </w:rPr>
      </w:pPr>
      <w:r>
        <w:rPr>
          <w:szCs w:val="24"/>
        </w:rPr>
        <w:t xml:space="preserve">  </w:t>
      </w:r>
    </w:p>
    <w:p w14:paraId="5E5BB87F" w14:textId="6541DA9A" w:rsidR="00403534" w:rsidRPr="008933E6" w:rsidRDefault="002A21C1" w:rsidP="00DD1961">
      <w:pPr>
        <w:pStyle w:val="Laad1"/>
      </w:pPr>
      <w:r>
        <w:t>Hanke alusdokumendid koosnevad käesolevast pakkumuse esitam</w:t>
      </w:r>
      <w:r w:rsidR="0024420B">
        <w:t>ise</w:t>
      </w:r>
      <w:r>
        <w:t xml:space="preserve"> ettepanekust ja järgmistest lisadest:</w:t>
      </w:r>
      <w:r w:rsidR="00403534" w:rsidRPr="008933E6">
        <w:t xml:space="preserve"> </w:t>
      </w:r>
    </w:p>
    <w:p w14:paraId="6CC9A611" w14:textId="0EEEAC29" w:rsidR="00403534" w:rsidRPr="002A21C1" w:rsidRDefault="00403534" w:rsidP="005B4A4A">
      <w:pPr>
        <w:pStyle w:val="Laad2"/>
      </w:pPr>
      <w:r w:rsidRPr="002A21C1">
        <w:t>Lisa 1</w:t>
      </w:r>
      <w:r w:rsidR="00E245A5">
        <w:t xml:space="preserve"> – </w:t>
      </w:r>
      <w:r w:rsidRPr="002A21C1">
        <w:t>Raamlepingu projekt koos hankelepingu projektiga;</w:t>
      </w:r>
    </w:p>
    <w:p w14:paraId="49CE6AFF" w14:textId="6CA69485" w:rsidR="00A30E48" w:rsidRPr="002A21C1" w:rsidRDefault="00403534" w:rsidP="005B4A4A">
      <w:pPr>
        <w:pStyle w:val="Laad2"/>
      </w:pPr>
      <w:r w:rsidRPr="002A21C1">
        <w:t>Lisa 1.1</w:t>
      </w:r>
      <w:r w:rsidR="00E245A5">
        <w:t xml:space="preserve"> – </w:t>
      </w:r>
      <w:r w:rsidRPr="002A21C1">
        <w:t>SMIT</w:t>
      </w:r>
      <w:r w:rsidR="00076315">
        <w:t xml:space="preserve"> töövõtu</w:t>
      </w:r>
      <w:r w:rsidR="00A30E48" w:rsidRPr="002A21C1">
        <w:t>lepingu</w:t>
      </w:r>
      <w:r w:rsidRPr="002A21C1">
        <w:t xml:space="preserve"> üldtingimused;</w:t>
      </w:r>
    </w:p>
    <w:p w14:paraId="4AB234D6" w14:textId="552AAA89" w:rsidR="004D0159" w:rsidRPr="002A21C1" w:rsidRDefault="004D0159" w:rsidP="004D0159">
      <w:pPr>
        <w:pStyle w:val="Laad2"/>
      </w:pPr>
      <w:r w:rsidRPr="002A21C1">
        <w:t>Lisa 1.2</w:t>
      </w:r>
      <w:r w:rsidR="00E245A5">
        <w:t xml:space="preserve"> – </w:t>
      </w:r>
      <w:r w:rsidRPr="002A21C1">
        <w:t>SMIT müügilepingu üldtingimused;</w:t>
      </w:r>
    </w:p>
    <w:p w14:paraId="5EA1D8A4" w14:textId="53022BF0" w:rsidR="00403534" w:rsidRDefault="00403534" w:rsidP="005B4A4A">
      <w:pPr>
        <w:pStyle w:val="Laad2"/>
      </w:pPr>
      <w:r w:rsidRPr="002A21C1">
        <w:t>Lisa 2</w:t>
      </w:r>
      <w:r w:rsidR="00E245A5">
        <w:t xml:space="preserve"> – </w:t>
      </w:r>
      <w:r w:rsidRPr="002A21C1">
        <w:t>Tehniline kirjeldus;</w:t>
      </w:r>
    </w:p>
    <w:p w14:paraId="6D8B7139" w14:textId="1CCA68E8" w:rsidR="00E245A5" w:rsidRDefault="00E245A5" w:rsidP="005B4A4A">
      <w:pPr>
        <w:pStyle w:val="Laad2"/>
      </w:pPr>
      <w:r>
        <w:t>Lisa 2.1 – Aruande vorm;</w:t>
      </w:r>
    </w:p>
    <w:p w14:paraId="1C273AF7" w14:textId="6B212AC1" w:rsidR="00E245A5" w:rsidRDefault="00E245A5" w:rsidP="005B4A4A">
      <w:pPr>
        <w:pStyle w:val="Laad2"/>
      </w:pPr>
      <w:r>
        <w:t>Lisa 2.2 – Seadmete ja litsentside hinnakiri;</w:t>
      </w:r>
    </w:p>
    <w:p w14:paraId="72723163" w14:textId="41965032" w:rsidR="00E245A5" w:rsidRPr="002A21C1" w:rsidRDefault="00E245A5" w:rsidP="005B4A4A">
      <w:pPr>
        <w:pStyle w:val="Laad2"/>
      </w:pPr>
      <w:r>
        <w:t>Lisa 2.3 – Raadiolingi näidispakkumus;</w:t>
      </w:r>
    </w:p>
    <w:p w14:paraId="04FEA7EB" w14:textId="674F2962" w:rsidR="002A21C1" w:rsidRPr="002A21C1" w:rsidRDefault="002A21C1" w:rsidP="00092A1F">
      <w:pPr>
        <w:pStyle w:val="Laad2"/>
        <w:ind w:left="709" w:hanging="709"/>
      </w:pPr>
      <w:r w:rsidRPr="002A21C1">
        <w:t xml:space="preserve">Lisa 3 – Hankepass (sisaldab pakkuja(te) kõrvaldamise aluseid ja kvalifitseerimise tingimusi) (eRHR vorm). </w:t>
      </w:r>
      <w:r w:rsidRPr="002A21C1">
        <w:rPr>
          <w:i/>
          <w:iCs/>
        </w:rPr>
        <w:t>Esitatakse iga ühispakkuja või isiku kohta eraldi</w:t>
      </w:r>
      <w:r w:rsidRPr="002A21C1">
        <w:t>;</w:t>
      </w:r>
    </w:p>
    <w:p w14:paraId="2AB976D4" w14:textId="0023CB3C" w:rsidR="002A21C1" w:rsidRPr="002A21C1" w:rsidRDefault="002A21C1" w:rsidP="002A21C1">
      <w:pPr>
        <w:pStyle w:val="Laad2"/>
      </w:pPr>
      <w:r w:rsidRPr="002A21C1">
        <w:t>Lisa 4 – Vastavustingimused (eRHR vorm);</w:t>
      </w:r>
    </w:p>
    <w:p w14:paraId="43C124D5" w14:textId="629FFE1A" w:rsidR="002A21C1" w:rsidRPr="00092A1F" w:rsidRDefault="002A21C1" w:rsidP="00092A1F">
      <w:pPr>
        <w:pStyle w:val="Laad2"/>
        <w:ind w:left="709" w:hanging="709"/>
      </w:pPr>
      <w:r w:rsidRPr="00092A1F">
        <w:t xml:space="preserve">Lisa 4.1 – </w:t>
      </w:r>
      <w:r w:rsidR="00092A1F" w:rsidRPr="00092A1F">
        <w:rPr>
          <w:iCs/>
        </w:rPr>
        <w:t>Paiksete raadiosideliini antennide ja raadiomoodulite paigaldamise spetsialistide CV vorm</w:t>
      </w:r>
      <w:r w:rsidRPr="00092A1F">
        <w:t>;</w:t>
      </w:r>
    </w:p>
    <w:p w14:paraId="45C5E343" w14:textId="0CE5C08D" w:rsidR="00092A1F" w:rsidRPr="00092A1F" w:rsidRDefault="00092A1F" w:rsidP="002A21C1">
      <w:pPr>
        <w:pStyle w:val="Laad2"/>
      </w:pPr>
      <w:r w:rsidRPr="00092A1F">
        <w:t xml:space="preserve">Lisa 4.2 – </w:t>
      </w:r>
      <w:r w:rsidRPr="00092A1F">
        <w:rPr>
          <w:iCs/>
        </w:rPr>
        <w:t>Paiksete raadiosideliini projekteerimise spetsialist CV vorm;</w:t>
      </w:r>
    </w:p>
    <w:p w14:paraId="6551F41B" w14:textId="77777777" w:rsidR="003E4F4D" w:rsidRPr="003E4F4D" w:rsidRDefault="00092A1F" w:rsidP="003E4F4D">
      <w:pPr>
        <w:pStyle w:val="Laad2"/>
        <w:ind w:left="709" w:hanging="709"/>
      </w:pPr>
      <w:r w:rsidRPr="00092A1F">
        <w:rPr>
          <w:iCs/>
        </w:rPr>
        <w:t>Lisa 4.3 – Telekomi seadmetega elektri toitelahenduste paigaldamise spetsialistide CV vorm;</w:t>
      </w:r>
    </w:p>
    <w:p w14:paraId="5AB22DD2" w14:textId="4C7CA850" w:rsidR="003E4F4D" w:rsidRPr="003E4F4D" w:rsidRDefault="003E4F4D" w:rsidP="003E4F4D">
      <w:pPr>
        <w:pStyle w:val="Laad2"/>
        <w:ind w:left="709" w:hanging="709"/>
      </w:pPr>
      <w:r w:rsidRPr="003E4F4D">
        <w:rPr>
          <w:iCs/>
        </w:rPr>
        <w:t>Lisa 4.4 – Minilink TN, CN ja ML6600 linkide tundmise spetsialistide CV vorm;</w:t>
      </w:r>
    </w:p>
    <w:p w14:paraId="53D197CD" w14:textId="23253B89" w:rsidR="002A21C1" w:rsidRPr="002A21C1" w:rsidRDefault="002A21C1" w:rsidP="002A21C1">
      <w:pPr>
        <w:pStyle w:val="Laad2"/>
      </w:pPr>
      <w:r w:rsidRPr="002A21C1">
        <w:t>Lisa 4.</w:t>
      </w:r>
      <w:r w:rsidR="003E4F4D">
        <w:t>5</w:t>
      </w:r>
      <w:r w:rsidRPr="002A21C1">
        <w:t xml:space="preserve"> – Ühispakkujate volikirja vorm;</w:t>
      </w:r>
    </w:p>
    <w:p w14:paraId="26463125" w14:textId="09298D08" w:rsidR="00E46AAD" w:rsidRPr="002A21C1" w:rsidRDefault="00E46AAD" w:rsidP="005B4A4A">
      <w:pPr>
        <w:pStyle w:val="Laad2"/>
      </w:pPr>
      <w:r w:rsidRPr="002A21C1">
        <w:t xml:space="preserve">Lisa </w:t>
      </w:r>
      <w:r w:rsidR="002A21C1" w:rsidRPr="002A21C1">
        <w:t>5</w:t>
      </w:r>
      <w:r w:rsidRPr="002A21C1">
        <w:t xml:space="preserve"> – Hindamiskriteeriumid</w:t>
      </w:r>
      <w:r w:rsidR="002A21C1" w:rsidRPr="002A21C1">
        <w:t xml:space="preserve"> (eRHR vorm)</w:t>
      </w:r>
      <w:r w:rsidRPr="002A21C1">
        <w:t>;</w:t>
      </w:r>
    </w:p>
    <w:p w14:paraId="7C46E638" w14:textId="67EB647F" w:rsidR="00E46AAD" w:rsidRPr="005D6FDB" w:rsidRDefault="00E46AAD" w:rsidP="001B36BA">
      <w:pPr>
        <w:pStyle w:val="Laad2"/>
        <w:ind w:left="709" w:hanging="709"/>
        <w:rPr>
          <w:u w:val="single"/>
        </w:rPr>
      </w:pPr>
      <w:r w:rsidRPr="002A21C1">
        <w:t xml:space="preserve">Lisa </w:t>
      </w:r>
      <w:r w:rsidR="002A21C1" w:rsidRPr="002A21C1">
        <w:t>6</w:t>
      </w:r>
      <w:r w:rsidRPr="002A21C1">
        <w:t xml:space="preserve"> </w:t>
      </w:r>
      <w:r w:rsidR="002A21C1" w:rsidRPr="002A21C1">
        <w:t>–</w:t>
      </w:r>
      <w:r w:rsidRPr="002A21C1">
        <w:t xml:space="preserve"> Konfidentsiaalsusleping</w:t>
      </w:r>
      <w:r w:rsidR="00092A1F">
        <w:t>u projekt</w:t>
      </w:r>
      <w:r w:rsidR="001B36BA">
        <w:t xml:space="preserve"> </w:t>
      </w:r>
      <w:r w:rsidR="001B36BA" w:rsidRPr="005D6FDB">
        <w:rPr>
          <w:u w:val="single"/>
        </w:rPr>
        <w:t xml:space="preserve">(sõlmitakse edukaks tunnistatud pakkujaga </w:t>
      </w:r>
      <w:r w:rsidR="005D6FDB" w:rsidRPr="005D6FDB">
        <w:rPr>
          <w:u w:val="single"/>
        </w:rPr>
        <w:t>koos</w:t>
      </w:r>
      <w:r w:rsidR="001B36BA" w:rsidRPr="005D6FDB">
        <w:rPr>
          <w:u w:val="single"/>
        </w:rPr>
        <w:t xml:space="preserve"> raamlepingu sõlmimis</w:t>
      </w:r>
      <w:r w:rsidR="005D6FDB" w:rsidRPr="005D6FDB">
        <w:rPr>
          <w:u w:val="single"/>
        </w:rPr>
        <w:t>ega</w:t>
      </w:r>
      <w:r w:rsidR="001B36BA" w:rsidRPr="005D6FDB">
        <w:rPr>
          <w:u w:val="single"/>
        </w:rPr>
        <w:t>)</w:t>
      </w:r>
      <w:r w:rsidR="002A21C1" w:rsidRPr="005D6FDB">
        <w:rPr>
          <w:u w:val="single"/>
        </w:rPr>
        <w:t>;</w:t>
      </w:r>
    </w:p>
    <w:p w14:paraId="1B26749A" w14:textId="1B8E0378" w:rsidR="002A21C1" w:rsidRPr="002A21C1" w:rsidRDefault="002A21C1" w:rsidP="002A21C1">
      <w:pPr>
        <w:pStyle w:val="Laad2"/>
      </w:pPr>
      <w:r w:rsidRPr="002A21C1">
        <w:t>Lisa 7 – Hanketeade (eRHR vorm).</w:t>
      </w:r>
    </w:p>
    <w:p w14:paraId="248B9B29" w14:textId="44AD1B45" w:rsidR="00D85494" w:rsidRPr="008933E6" w:rsidRDefault="00D85494" w:rsidP="00816B9C">
      <w:pPr>
        <w:outlineLvl w:val="0"/>
        <w:rPr>
          <w:szCs w:val="24"/>
          <w:highlight w:val="yellow"/>
        </w:rPr>
      </w:pPr>
    </w:p>
    <w:p w14:paraId="353F59E7" w14:textId="5C5561DF" w:rsidR="00D85494" w:rsidRPr="002A21C1" w:rsidRDefault="00D85494" w:rsidP="002A21C1">
      <w:pPr>
        <w:pStyle w:val="Laad1"/>
      </w:pPr>
      <w:r w:rsidRPr="008933E6">
        <w:t>Riigihanke osadeks jaotamine</w:t>
      </w:r>
    </w:p>
    <w:p w14:paraId="30F19AE9" w14:textId="77777777" w:rsidR="00B54ACF" w:rsidRDefault="00D85494" w:rsidP="00B54ACF">
      <w:pPr>
        <w:pStyle w:val="ListParagraph"/>
        <w:numPr>
          <w:ilvl w:val="1"/>
          <w:numId w:val="5"/>
        </w:numPr>
        <w:autoSpaceDE w:val="0"/>
        <w:autoSpaceDN w:val="0"/>
        <w:adjustRightInd w:val="0"/>
        <w:ind w:left="426" w:hanging="426"/>
        <w:contextualSpacing/>
        <w:jc w:val="both"/>
        <w:outlineLvl w:val="0"/>
        <w:rPr>
          <w:rStyle w:val="Laad2Mrk"/>
        </w:rPr>
      </w:pPr>
      <w:r w:rsidRPr="008933E6">
        <w:t xml:space="preserve">Hankija </w:t>
      </w:r>
      <w:r w:rsidRPr="005B4A4A">
        <w:rPr>
          <w:rStyle w:val="Laad2Mrk"/>
        </w:rPr>
        <w:t xml:space="preserve">ei jaga riigihanget osadeks ja sõlmib </w:t>
      </w:r>
      <w:r w:rsidR="00E74712" w:rsidRPr="005B4A4A">
        <w:rPr>
          <w:rStyle w:val="Laad2Mrk"/>
        </w:rPr>
        <w:t xml:space="preserve">teenuse osutamiseks ja/või asjade ostmiseks </w:t>
      </w:r>
      <w:r w:rsidRPr="005B4A4A">
        <w:rPr>
          <w:rStyle w:val="Laad2Mrk"/>
        </w:rPr>
        <w:t xml:space="preserve">raamlepingu (edaspidi leping) ühe pakkujaga. </w:t>
      </w:r>
    </w:p>
    <w:p w14:paraId="7CE51644" w14:textId="597DE546" w:rsidR="00B54ACF" w:rsidRDefault="00D85494" w:rsidP="00B54ACF">
      <w:pPr>
        <w:pStyle w:val="ListParagraph"/>
        <w:numPr>
          <w:ilvl w:val="1"/>
          <w:numId w:val="5"/>
        </w:numPr>
        <w:autoSpaceDE w:val="0"/>
        <w:autoSpaceDN w:val="0"/>
        <w:adjustRightInd w:val="0"/>
        <w:ind w:left="426" w:hanging="426"/>
        <w:contextualSpacing/>
        <w:jc w:val="both"/>
        <w:outlineLvl w:val="0"/>
      </w:pPr>
      <w:r w:rsidRPr="00272729">
        <w:t>Teenuse osutamine</w:t>
      </w:r>
      <w:r w:rsidR="00E74712" w:rsidRPr="00272729">
        <w:t xml:space="preserve"> ja </w:t>
      </w:r>
      <w:r w:rsidR="00272729" w:rsidRPr="00272729">
        <w:t>a</w:t>
      </w:r>
      <w:r w:rsidRPr="00272729">
        <w:t>sja</w:t>
      </w:r>
      <w:r w:rsidR="00272729" w:rsidRPr="00272729">
        <w:t>de</w:t>
      </w:r>
      <w:r w:rsidRPr="00272729">
        <w:t xml:space="preserve"> ostmine ühelt pakkujalt </w:t>
      </w:r>
      <w:r w:rsidRPr="008933E6">
        <w:t xml:space="preserve">tagab hankija rahaliste vahendite otstarbeka ja säästliku kasutamise. Samuti võimaldab see rahaliste vahendite kokkuhoidu tugiteenuste arvelt. </w:t>
      </w:r>
      <w:r w:rsidR="00B54ACF" w:rsidRPr="00B54ACF">
        <w:t xml:space="preserve">Raadiolinkide arendustöö tellitakse </w:t>
      </w:r>
      <w:r w:rsidR="00BF112B">
        <w:t>h</w:t>
      </w:r>
      <w:r w:rsidR="00B54ACF" w:rsidRPr="00B54ACF">
        <w:t>ankija poolt „võtmed-kätte“ lahendusena</w:t>
      </w:r>
      <w:r w:rsidR="00E752DF">
        <w:t>,</w:t>
      </w:r>
      <w:r w:rsidR="00B54ACF" w:rsidRPr="00B54ACF">
        <w:t xml:space="preserve"> kus </w:t>
      </w:r>
      <w:r w:rsidR="00BF112B">
        <w:t>p</w:t>
      </w:r>
      <w:r w:rsidR="00B54ACF" w:rsidRPr="00B54ACF">
        <w:t xml:space="preserve">akkuja vastutus on lahenduse täielik tehnilistele tingimustele, rahvusvahelistele nõuetele ja Eesti seadustele vastavus. Raadiolinkide arendustööde teostamine sisaldab endas raadiolingi projekteerimist vastavalt maastikule, kasutatavatele sagedustele ja mastidele või objektidele. Projekteerimise käigus tehakse vajadusel mõõtmistööd maastikul, valitakse tehnilistele tingimustele ja paigalduskohale sobivad seadmed, antennid, kaablid ning kinnitusvahendid. Valitud seadmed ja antennid paigaldatakse, seadistatakse ja testitakse pakkuja poolt ning </w:t>
      </w:r>
      <w:r w:rsidR="00BF112B">
        <w:t>h</w:t>
      </w:r>
      <w:r w:rsidR="00B54ACF" w:rsidRPr="00B54ACF">
        <w:t>ankijale antakse üle töötav ja nõuetele vastav lahendus.</w:t>
      </w:r>
    </w:p>
    <w:p w14:paraId="1DDAECC5" w14:textId="7AD69EE2" w:rsidR="00403534" w:rsidRPr="002070FB" w:rsidRDefault="00B54ACF" w:rsidP="00111C2C">
      <w:pPr>
        <w:pStyle w:val="ListParagraph"/>
        <w:numPr>
          <w:ilvl w:val="1"/>
          <w:numId w:val="5"/>
        </w:numPr>
        <w:autoSpaceDE w:val="0"/>
        <w:autoSpaceDN w:val="0"/>
        <w:adjustRightInd w:val="0"/>
        <w:ind w:left="426" w:hanging="426"/>
        <w:contextualSpacing/>
        <w:jc w:val="both"/>
        <w:outlineLvl w:val="0"/>
      </w:pPr>
      <w:r w:rsidRPr="00B54ACF">
        <w:t xml:space="preserve">Raadiolinkide arendustööde ja hooldustööde teostamisel on </w:t>
      </w:r>
      <w:r>
        <w:t>h</w:t>
      </w:r>
      <w:r w:rsidRPr="00B54ACF">
        <w:t xml:space="preserve">ankija jaoks ülioluline </w:t>
      </w:r>
      <w:r>
        <w:t>lepingupartneri</w:t>
      </w:r>
      <w:r w:rsidRPr="00B54ACF">
        <w:t xml:space="preserve"> kompleksne vastutus kogu töö kvaliteedi, nõuetele ja seadustele vastavuse </w:t>
      </w:r>
      <w:r w:rsidRPr="00B54ACF">
        <w:lastRenderedPageBreak/>
        <w:t xml:space="preserve">eest. See tagatakse raamlepingu sõlmimisega ühe </w:t>
      </w:r>
      <w:r>
        <w:t>p</w:t>
      </w:r>
      <w:r w:rsidRPr="00B54ACF">
        <w:t>akkujaga</w:t>
      </w:r>
      <w:r>
        <w:t>,</w:t>
      </w:r>
      <w:r w:rsidRPr="00B54ACF">
        <w:t xml:space="preserve"> kes omab kõiki vajalikke oskusi (spetsialiste) ja seadmete edasimüügi ja hoolduse õigusi.  </w:t>
      </w:r>
      <w:bookmarkStart w:id="0" w:name="OLE_LINK6"/>
      <w:bookmarkStart w:id="1" w:name="OLE_LINK5"/>
    </w:p>
    <w:p w14:paraId="2A27E654" w14:textId="77777777" w:rsidR="000774AD" w:rsidRPr="008933E6" w:rsidRDefault="000774AD" w:rsidP="00816B9C">
      <w:pPr>
        <w:outlineLvl w:val="0"/>
        <w:rPr>
          <w:szCs w:val="24"/>
        </w:rPr>
      </w:pPr>
    </w:p>
    <w:bookmarkEnd w:id="0"/>
    <w:bookmarkEnd w:id="1"/>
    <w:p w14:paraId="039623C3" w14:textId="794C4B67" w:rsidR="00E66EB2" w:rsidRPr="008933E6" w:rsidRDefault="00E66EB2" w:rsidP="00DD1961">
      <w:pPr>
        <w:pStyle w:val="Laad1"/>
      </w:pPr>
      <w:r w:rsidRPr="008933E6">
        <w:t>Pakkumuse vormistamine ja esitamine</w:t>
      </w:r>
    </w:p>
    <w:p w14:paraId="46447B1F" w14:textId="4C341E5E" w:rsidR="002070FB" w:rsidRPr="002070FB" w:rsidRDefault="00403534" w:rsidP="002070FB">
      <w:pPr>
        <w:pStyle w:val="Laad2"/>
        <w:tabs>
          <w:tab w:val="left" w:pos="426"/>
        </w:tabs>
        <w:ind w:left="426" w:hanging="426"/>
      </w:pPr>
      <w:r w:rsidRPr="008933E6">
        <w:rPr>
          <w:shd w:val="clear" w:color="auto" w:fill="FFFFFF"/>
        </w:rPr>
        <w:t>Pakkumuses esitatud andmed peavad olema tõesed, esitatud viisil ja piisava detailsusega, mis võimaldavad hankijal kontrollida nende vastavust riigihanke alusdokumentides toodud tingimustele</w:t>
      </w:r>
      <w:r w:rsidR="002070FB">
        <w:rPr>
          <w:shd w:val="clear" w:color="auto" w:fill="FFFFFF"/>
        </w:rPr>
        <w:t>.</w:t>
      </w:r>
    </w:p>
    <w:p w14:paraId="4D488B89" w14:textId="77777777" w:rsidR="002070FB" w:rsidRPr="002070FB" w:rsidRDefault="00403534" w:rsidP="002070FB">
      <w:pPr>
        <w:pStyle w:val="Laad2"/>
        <w:tabs>
          <w:tab w:val="left" w:pos="426"/>
        </w:tabs>
        <w:ind w:left="426" w:hanging="426"/>
      </w:pPr>
      <w:r w:rsidRPr="002070FB">
        <w:rPr>
          <w:bCs/>
        </w:rPr>
        <w:t>Pakkumuse maksumused tuleb esitada eurodes täpsusega kaks kohta pärast koma.</w:t>
      </w:r>
    </w:p>
    <w:p w14:paraId="6AD1105D" w14:textId="77777777" w:rsidR="002070FB" w:rsidRPr="002070FB" w:rsidRDefault="00403534" w:rsidP="002070FB">
      <w:pPr>
        <w:pStyle w:val="Laad2"/>
        <w:tabs>
          <w:tab w:val="left" w:pos="426"/>
        </w:tabs>
        <w:ind w:left="426" w:hanging="426"/>
      </w:pPr>
      <w:r w:rsidRPr="008933E6">
        <w:t xml:space="preserve">Pakkumuse maksumuses kajastatud summad on hankijale lõplikud, sh sisaldavad tasusid või muid makse, v.a käibemaksu, mis kajastatakse eraldi, ning selles toodud summadele ei lisandu täiendavaid väljamakseid ega kulutusi. </w:t>
      </w:r>
      <w:r w:rsidRPr="002070FB">
        <w:t>. 0 või negatiivse väärtusega maksumusi ei ole lubatud kasutada ja sellised pakkumused on hankijal õigus tunnistada mittevastavaks ning tagasi lükata.</w:t>
      </w:r>
    </w:p>
    <w:p w14:paraId="1B3A78FD" w14:textId="77777777" w:rsidR="002070FB" w:rsidRDefault="00403534" w:rsidP="002070FB">
      <w:pPr>
        <w:pStyle w:val="Laad2"/>
        <w:tabs>
          <w:tab w:val="left" w:pos="426"/>
        </w:tabs>
        <w:ind w:left="426" w:hanging="426"/>
      </w:pPr>
      <w:r w:rsidRPr="008933E6">
        <w:t>Kui esitatavate dokumentide koosseisus on kolmanda osapoole poolt kirjalikult allkirjastatud dokumente, esitada dokument skaneeritud kujul ning originaaldokument esitada ainult juhul, kui hankija nõuab originaali esitamist.</w:t>
      </w:r>
    </w:p>
    <w:p w14:paraId="265A96B5" w14:textId="77777777" w:rsidR="002070FB" w:rsidRDefault="00E66EB2" w:rsidP="002070FB">
      <w:pPr>
        <w:pStyle w:val="Laad2"/>
        <w:tabs>
          <w:tab w:val="left" w:pos="426"/>
        </w:tabs>
        <w:ind w:left="426" w:hanging="426"/>
      </w:pPr>
      <w:r w:rsidRPr="008933E6">
        <w:t>Alternatiivlahendused ei ole lubatud.</w:t>
      </w:r>
    </w:p>
    <w:p w14:paraId="120F1779" w14:textId="77777777" w:rsidR="002070FB" w:rsidRPr="002070FB" w:rsidRDefault="00594F30" w:rsidP="002070FB">
      <w:pPr>
        <w:pStyle w:val="Laad2"/>
        <w:tabs>
          <w:tab w:val="left" w:pos="426"/>
        </w:tabs>
        <w:ind w:left="426" w:hanging="426"/>
      </w:pPr>
      <w:r w:rsidRPr="008933E6">
        <w:t xml:space="preserve">Iga viidet, mille hankija teeb </w:t>
      </w:r>
      <w:r>
        <w:t>hanke alusdokumentides</w:t>
      </w:r>
      <w:r w:rsidRPr="008933E6">
        <w:t xml:space="preserve"> mõnele RHS-i § 88 lõikes 2 nimetatud alusele (standardile, tehnilisele tunnustusele, tehnilisele kontrollisüsteemile</w:t>
      </w:r>
      <w:r w:rsidR="0040295F">
        <w:t xml:space="preserve">, </w:t>
      </w:r>
      <w:r w:rsidR="0040295F" w:rsidRPr="002070FB">
        <w:t>märgisele</w:t>
      </w:r>
      <w:r w:rsidRPr="002070FB">
        <w:t xml:space="preserve"> vms), tuleb lugeda selliselt, et see on täiendatud märkega „või sellega samaväärne“. Iga viidet, mille hankija teeb </w:t>
      </w:r>
      <w:r w:rsidR="002E20B0" w:rsidRPr="002070FB">
        <w:t>hanke alusdokumentides</w:t>
      </w:r>
      <w:r w:rsidRPr="002070FB">
        <w:t xml:space="preserve"> ostuallikale, protsessile, kaubamärgile, patendile, tüübile, päritolule</w:t>
      </w:r>
      <w:r w:rsidR="0040295F" w:rsidRPr="002070FB">
        <w:t>, märgisele</w:t>
      </w:r>
      <w:r w:rsidRPr="002070FB">
        <w:t xml:space="preserve"> või tootmisviisile</w:t>
      </w:r>
      <w:r w:rsidRPr="008933E6">
        <w:t xml:space="preserve">, tuleb lugeda selliselt, et see on täiendatud märkega „või sellega samaväärne“. Samaväärsus </w:t>
      </w:r>
      <w:r w:rsidRPr="002070FB">
        <w:t>tähendab täpselt samu kasutusomadusi ja funktsionaalsusi. Samaväärsuse korral tuleb pakkujal pakkumuses esitada seda tõendavad dokumendid.</w:t>
      </w:r>
    </w:p>
    <w:p w14:paraId="681A787C" w14:textId="27FF8E9E" w:rsidR="00594F30" w:rsidRPr="002070FB" w:rsidRDefault="00594F30" w:rsidP="002070FB">
      <w:pPr>
        <w:pStyle w:val="Laad2"/>
        <w:tabs>
          <w:tab w:val="left" w:pos="426"/>
        </w:tabs>
        <w:ind w:left="426" w:hanging="426"/>
      </w:pPr>
      <w:r w:rsidRPr="002070FB">
        <w:t>Samaväärsuse pakkumisel peab pakutav lahendus ühtima hankija olemasolevate süsteemidega ning toote ja</w:t>
      </w:r>
      <w:r w:rsidR="003022D1" w:rsidRPr="002070FB">
        <w:t>/või</w:t>
      </w:r>
      <w:r w:rsidRPr="002070FB">
        <w:t xml:space="preserve"> teenuse hind peab sisaldama kõiki migreerimisega seotud lisatasusid. Pakkumus peab vastama esitatud nõuetele või olema sellega vähemalt samaväärne, kuid ühilduma olemasoleva lahendusega. Samaväärsust tõendavad andmed ja dokumendid esitab pakkuja koos pakkumusega. Pakkumuse samaväärsust kontrollivad ja hindavad hankija vastavate erialateadmistega töötajad.</w:t>
      </w:r>
    </w:p>
    <w:p w14:paraId="73FCF02C" w14:textId="7DC20004" w:rsidR="00301522" w:rsidRPr="008933E6" w:rsidRDefault="00301522" w:rsidP="00816B9C">
      <w:pPr>
        <w:outlineLvl w:val="0"/>
        <w:rPr>
          <w:szCs w:val="24"/>
        </w:rPr>
      </w:pPr>
    </w:p>
    <w:p w14:paraId="281D3315" w14:textId="77777777" w:rsidR="003B6C85" w:rsidRPr="00030835" w:rsidRDefault="003B6C85" w:rsidP="003B6C85">
      <w:pPr>
        <w:pStyle w:val="ListParagraph"/>
        <w:numPr>
          <w:ilvl w:val="0"/>
          <w:numId w:val="5"/>
        </w:numPr>
        <w:ind w:left="0"/>
        <w:contextualSpacing/>
        <w:jc w:val="both"/>
        <w:rPr>
          <w:b/>
          <w:color w:val="000000" w:themeColor="text1"/>
        </w:rPr>
      </w:pPr>
      <w:r w:rsidRPr="00030835">
        <w:rPr>
          <w:b/>
          <w:color w:val="000000" w:themeColor="text1"/>
        </w:rPr>
        <w:t>Ühispakkumuse esitamine ja/või  teise isiku vahenditele tuginemine. Heastamismeetmed</w:t>
      </w:r>
    </w:p>
    <w:p w14:paraId="033D62BB" w14:textId="77777777" w:rsidR="003B6C85" w:rsidRPr="0080358F" w:rsidRDefault="003B6C85" w:rsidP="0085639C">
      <w:pPr>
        <w:pStyle w:val="ListParagraph"/>
        <w:numPr>
          <w:ilvl w:val="1"/>
          <w:numId w:val="5"/>
        </w:numPr>
        <w:ind w:left="426" w:hanging="426"/>
        <w:jc w:val="both"/>
        <w:rPr>
          <w:color w:val="000000" w:themeColor="text1"/>
        </w:rPr>
      </w:pPr>
      <w:r w:rsidRPr="00030835">
        <w:rPr>
          <w:color w:val="000000" w:themeColor="text1"/>
          <w:shd w:val="clear" w:color="auto" w:fill="FFFFFF"/>
        </w:rPr>
        <w:t xml:space="preserve">Ühispakkumuse esitamisel või teise isiku vahenditele tuginemisel tuleb iga ühispakkuja või tuginetava isiku kohta, </w:t>
      </w:r>
      <w:r w:rsidRPr="00030835">
        <w:rPr>
          <w:color w:val="000000" w:themeColor="text1"/>
        </w:rPr>
        <w:t xml:space="preserve">kelle majandus-ja/või finantsnäitajatele ja/või tehnilisele ja kutsealasele pädevusele tuginetakse, </w:t>
      </w:r>
      <w:r w:rsidRPr="00030835">
        <w:rPr>
          <w:color w:val="000000" w:themeColor="text1"/>
          <w:shd w:val="clear" w:color="auto" w:fill="FFFFFF"/>
        </w:rPr>
        <w:t xml:space="preserve">esitada hankepass koos kinnitustega kõrvaldamise aluste puudumise kohta ja nendele kvalifitseerimise tingimustele vastamise kohta, mille osas isiku näitajatele tuginetakse, </w:t>
      </w:r>
      <w:r w:rsidRPr="0080358F">
        <w:rPr>
          <w:color w:val="000000" w:themeColor="text1"/>
          <w:shd w:val="clear" w:color="auto" w:fill="FFFFFF"/>
        </w:rPr>
        <w:t>et hankija saaks teostada RHS § 103 toodud kontrollikohustuse.</w:t>
      </w:r>
      <w:bookmarkStart w:id="2" w:name="_Hlk95379976"/>
    </w:p>
    <w:p w14:paraId="650158F4" w14:textId="4B4F3AB7" w:rsidR="003B6C85" w:rsidRPr="00030835" w:rsidRDefault="003B6C85" w:rsidP="0085639C">
      <w:pPr>
        <w:pStyle w:val="ListParagraph"/>
        <w:numPr>
          <w:ilvl w:val="1"/>
          <w:numId w:val="5"/>
        </w:numPr>
        <w:ind w:left="426" w:hanging="426"/>
        <w:jc w:val="both"/>
        <w:rPr>
          <w:color w:val="000000" w:themeColor="text1"/>
        </w:rPr>
      </w:pPr>
      <w:r w:rsidRPr="00030835">
        <w:rPr>
          <w:rFonts w:cs="Arial"/>
          <w:color w:val="000000" w:themeColor="text1"/>
          <w:shd w:val="clear" w:color="auto" w:fill="FFFFFF"/>
        </w:rPr>
        <w:t>Juhul, kui pakkujal esineb vähemalt üks RHS § 95 lõike 1 punktides 1–3 ja 5 ning lõike 4 punktides 2–11 nimetatud alustest</w:t>
      </w:r>
      <w:r w:rsidRPr="0038549F">
        <w:rPr>
          <w:rFonts w:cs="Arial"/>
          <w:shd w:val="clear" w:color="auto" w:fill="FFFFFF"/>
        </w:rPr>
        <w:t xml:space="preserve">, peab pakkuja esitama </w:t>
      </w:r>
      <w:r w:rsidR="00623A96" w:rsidRPr="0038549F">
        <w:rPr>
          <w:rFonts w:cs="Arial"/>
          <w:shd w:val="clear" w:color="auto" w:fill="FFFFFF"/>
        </w:rPr>
        <w:t>hankija nõudmisel</w:t>
      </w:r>
      <w:r w:rsidRPr="0038549F">
        <w:rPr>
          <w:rFonts w:cs="Arial"/>
          <w:shd w:val="clear" w:color="auto" w:fill="FFFFFF"/>
        </w:rPr>
        <w:t xml:space="preserve"> RHS </w:t>
      </w:r>
      <w:r w:rsidRPr="00030835">
        <w:rPr>
          <w:rFonts w:cs="Arial"/>
          <w:color w:val="000000" w:themeColor="text1"/>
          <w:shd w:val="clear" w:color="auto" w:fill="FFFFFF"/>
        </w:rPr>
        <w:t xml:space="preserve">§ 97 kohased ja põhjendatud heastamismeetmed iga sellise esinenud asjaolu kohta. </w:t>
      </w:r>
      <w:bookmarkEnd w:id="2"/>
    </w:p>
    <w:p w14:paraId="20CF5CFB" w14:textId="77777777" w:rsidR="00DD1961" w:rsidRDefault="00DD1961" w:rsidP="00DD1961">
      <w:pPr>
        <w:pStyle w:val="Heading2"/>
        <w:numPr>
          <w:ilvl w:val="0"/>
          <w:numId w:val="0"/>
        </w:numPr>
        <w:spacing w:before="0" w:after="0"/>
        <w:rPr>
          <w:rFonts w:ascii="Times New Roman" w:hAnsi="Times New Roman"/>
          <w:bCs/>
          <w:sz w:val="24"/>
        </w:rPr>
      </w:pPr>
    </w:p>
    <w:p w14:paraId="37C628CB" w14:textId="09018789" w:rsidR="00816B9C" w:rsidRPr="0080358F" w:rsidRDefault="00E66EB2" w:rsidP="0080358F">
      <w:pPr>
        <w:pStyle w:val="Laad1"/>
      </w:pPr>
      <w:r w:rsidRPr="008933E6">
        <w:t>Pakkumuste hindamine</w:t>
      </w:r>
      <w:r w:rsidR="00B37332" w:rsidRPr="008933E6">
        <w:t>, pakkumuse maksumuse esitamine</w:t>
      </w:r>
      <w:r w:rsidRPr="008933E6">
        <w:t xml:space="preserve"> ja edukaks tunnistamine</w:t>
      </w:r>
    </w:p>
    <w:p w14:paraId="4817BD07" w14:textId="77777777" w:rsidR="00816B9C" w:rsidRPr="0080358F" w:rsidRDefault="00816B9C" w:rsidP="0080358F">
      <w:pPr>
        <w:pStyle w:val="Laad2"/>
        <w:tabs>
          <w:tab w:val="left" w:pos="426"/>
        </w:tabs>
        <w:ind w:left="426" w:hanging="426"/>
      </w:pPr>
      <w:r w:rsidRPr="0080358F">
        <w:t xml:space="preserve">Eduka pakkumuse valiku aluseks on majanduslik soodsus, mis selgitatakse välja väärtuspunktide omistamise meetodil riigihanke alusdokumentides toodud hindamiskriteeriumite alusel. Pakkumustele omistatakse punkte pakkumuste omavahelise võrdlemise teel. </w:t>
      </w:r>
    </w:p>
    <w:p w14:paraId="51BB81BF" w14:textId="4B434788" w:rsidR="00816B9C" w:rsidRPr="0080358F" w:rsidRDefault="00816B9C" w:rsidP="0080358F">
      <w:pPr>
        <w:pStyle w:val="Laad2"/>
        <w:tabs>
          <w:tab w:val="left" w:pos="426"/>
        </w:tabs>
        <w:ind w:left="426" w:hanging="426"/>
      </w:pPr>
      <w:r w:rsidRPr="0080358F">
        <w:t xml:space="preserve">Hankija tunnistab edukaks enim väärtuspunkte saanud pakkumuse. Võrdsete väärtuspunktidega pakkumuste korral tunnistatakse edukaks pakkumus, millele on </w:t>
      </w:r>
      <w:r w:rsidRPr="0080358F">
        <w:lastRenderedPageBreak/>
        <w:t xml:space="preserve">omistatud kriteeriumi </w:t>
      </w:r>
      <w:r w:rsidR="008B4FAA">
        <w:t xml:space="preserve">„Tehtavad tööd ja spetsialisti objektile sõitmine„ </w:t>
      </w:r>
      <w:r w:rsidRPr="0080358F">
        <w:t xml:space="preserve">eest suurim arv väärtuspunkte. Juhul, kui ka kriteeriumi </w:t>
      </w:r>
      <w:r w:rsidR="00A22554">
        <w:t xml:space="preserve">„Tehtavad tööd ja spetsialisti objektile sõitmine„ </w:t>
      </w:r>
      <w:r w:rsidRPr="0080358F">
        <w:t>väärtuspunktid on võrdsed, korraldab hankija eduka pakkumuse väljaselgitamiseks liisuheitmise.</w:t>
      </w:r>
    </w:p>
    <w:p w14:paraId="1BA581A9" w14:textId="77777777" w:rsidR="00DD1961" w:rsidRPr="005B4A4A" w:rsidRDefault="00DD1961" w:rsidP="00DD1961">
      <w:pPr>
        <w:pStyle w:val="Laad1"/>
        <w:numPr>
          <w:ilvl w:val="0"/>
          <w:numId w:val="0"/>
        </w:numPr>
      </w:pPr>
    </w:p>
    <w:p w14:paraId="0A6BB5AF" w14:textId="062D0CB6" w:rsidR="00A30E48" w:rsidRPr="005B4A4A" w:rsidRDefault="00A30E48" w:rsidP="00DD1961">
      <w:pPr>
        <w:pStyle w:val="Laad1"/>
      </w:pPr>
      <w:bookmarkStart w:id="3" w:name="_Hlk95380323"/>
      <w:r w:rsidRPr="005B4A4A">
        <w:t xml:space="preserve">Kõikide pakkumuste tagasilükkamine. Hankemenetluse kehtetuks tunnistamine </w:t>
      </w:r>
    </w:p>
    <w:p w14:paraId="6125AB5A" w14:textId="77777777" w:rsidR="00A30E48" w:rsidRPr="00475480" w:rsidRDefault="00A30E48" w:rsidP="00777A2F">
      <w:pPr>
        <w:pStyle w:val="Laad2"/>
        <w:tabs>
          <w:tab w:val="left" w:pos="426"/>
        </w:tabs>
        <w:ind w:left="426" w:hanging="426"/>
      </w:pPr>
      <w:r w:rsidRPr="00475480">
        <w:rPr>
          <w:color w:val="000000" w:themeColor="text1"/>
        </w:rPr>
        <w:t xml:space="preserve">Hankijal on õigus kõik esitatud või vastavaks tunnistatud pakkumused tagasi lükata igal </w:t>
      </w:r>
      <w:r w:rsidRPr="00475480">
        <w:t xml:space="preserve">ajal enne </w:t>
      </w:r>
      <w:r w:rsidRPr="00475480">
        <w:rPr>
          <w:rFonts w:cs="Arial"/>
          <w:shd w:val="clear" w:color="auto" w:fill="FFFFFF"/>
        </w:rPr>
        <w:t xml:space="preserve">lepingu </w:t>
      </w:r>
      <w:r w:rsidRPr="00475480">
        <w:t>sõlmimist vastavalt  RHS §-s 116 lg 1 sätestatule. Kõigi pakkumuste tagasilükkamisel teeb hankija sellekohase põhjendatud otsuse.</w:t>
      </w:r>
    </w:p>
    <w:p w14:paraId="7D2B7F0C" w14:textId="77777777" w:rsidR="00A30E48" w:rsidRPr="00475480" w:rsidRDefault="00A30E48" w:rsidP="00777A2F">
      <w:pPr>
        <w:pStyle w:val="Laad2"/>
        <w:tabs>
          <w:tab w:val="left" w:pos="426"/>
        </w:tabs>
        <w:ind w:left="426" w:hanging="426"/>
      </w:pPr>
      <w:r w:rsidRPr="00475480">
        <w:t>Hankija võib põhjendatud vajadusel omal algatusel hankemenetluse kehtetuks tunnistada. Põhjendatud vajaduseks võib olla eelkõige, kuid mitte ainult:</w:t>
      </w:r>
    </w:p>
    <w:p w14:paraId="32A2751B" w14:textId="77777777" w:rsidR="0044392C" w:rsidRDefault="00A30E48" w:rsidP="00777A2F">
      <w:pPr>
        <w:pStyle w:val="Laad2"/>
        <w:numPr>
          <w:ilvl w:val="2"/>
          <w:numId w:val="5"/>
        </w:numPr>
        <w:ind w:hanging="798"/>
      </w:pPr>
      <w:r w:rsidRPr="00475480">
        <w:t xml:space="preserve">vajadus </w:t>
      </w:r>
      <w:r w:rsidRPr="00475480">
        <w:rPr>
          <w:rFonts w:cs="Arial"/>
          <w:shd w:val="clear" w:color="auto" w:fill="FFFFFF"/>
        </w:rPr>
        <w:t xml:space="preserve">lepingu </w:t>
      </w:r>
      <w:r w:rsidRPr="00475480">
        <w:t>eset olulisel määral muuta;</w:t>
      </w:r>
    </w:p>
    <w:p w14:paraId="681F2E9E" w14:textId="77777777" w:rsidR="0044392C" w:rsidRDefault="00A30E48" w:rsidP="00777A2F">
      <w:pPr>
        <w:pStyle w:val="Laad2"/>
        <w:numPr>
          <w:ilvl w:val="2"/>
          <w:numId w:val="5"/>
        </w:numPr>
        <w:ind w:hanging="798"/>
      </w:pPr>
      <w:r w:rsidRPr="00475480">
        <w:t xml:space="preserve">riigihanke läbiviimise aluseks olevad tingimused on oluliselt muutunud ja seetõttu osutub </w:t>
      </w:r>
      <w:r w:rsidRPr="0044392C">
        <w:rPr>
          <w:rFonts w:cs="Arial"/>
          <w:shd w:val="clear" w:color="auto" w:fill="FFFFFF"/>
        </w:rPr>
        <w:t xml:space="preserve">lepingu </w:t>
      </w:r>
      <w:r w:rsidRPr="00475480">
        <w:t>sõlmimine mittevajalikuks või võimatuks;</w:t>
      </w:r>
    </w:p>
    <w:p w14:paraId="6A28BA2F" w14:textId="77777777" w:rsidR="0044392C" w:rsidRDefault="00A30E48" w:rsidP="00777A2F">
      <w:pPr>
        <w:pStyle w:val="Laad2"/>
        <w:numPr>
          <w:ilvl w:val="2"/>
          <w:numId w:val="5"/>
        </w:numPr>
        <w:ind w:hanging="798"/>
      </w:pPr>
      <w:r w:rsidRPr="00475480">
        <w:t>hankemenetluses ilmnenud ebakõlasid ei ole võimalik kõrvaldada ega hankemenetlust seetõttu ka õiguspäraselt lõpule viia;</w:t>
      </w:r>
    </w:p>
    <w:p w14:paraId="1E410A26" w14:textId="77777777" w:rsidR="0044392C" w:rsidRDefault="005B4A4A" w:rsidP="00777A2F">
      <w:pPr>
        <w:pStyle w:val="Laad2"/>
        <w:numPr>
          <w:ilvl w:val="2"/>
          <w:numId w:val="5"/>
        </w:numPr>
        <w:ind w:hanging="798"/>
      </w:pPr>
      <w:r w:rsidRPr="008933E6">
        <w:t>kui hindamisele kuuluvaid pakkumusi on esitatud vähem kui kaks</w:t>
      </w:r>
      <w:r>
        <w:t>;</w:t>
      </w:r>
    </w:p>
    <w:p w14:paraId="52CAA44C" w14:textId="4A93AC2D" w:rsidR="00A30E48" w:rsidRPr="00475480" w:rsidRDefault="00A30E48" w:rsidP="00777A2F">
      <w:pPr>
        <w:pStyle w:val="Laad2"/>
        <w:numPr>
          <w:ilvl w:val="2"/>
          <w:numId w:val="5"/>
        </w:numPr>
        <w:ind w:hanging="798"/>
      </w:pPr>
      <w:r w:rsidRPr="0044392C">
        <w:rPr>
          <w:rFonts w:cs="Arial"/>
        </w:rPr>
        <w:t xml:space="preserve">hankija projektile otsustatakse rahastust mitte tagada. </w:t>
      </w:r>
    </w:p>
    <w:bookmarkEnd w:id="3"/>
    <w:p w14:paraId="350A21B4" w14:textId="77777777" w:rsidR="00E66EB2" w:rsidRPr="008933E6" w:rsidRDefault="00E66EB2" w:rsidP="00816B9C">
      <w:pPr>
        <w:pStyle w:val="ListParagraph"/>
        <w:ind w:left="0"/>
        <w:jc w:val="both"/>
        <w:outlineLvl w:val="0"/>
      </w:pPr>
    </w:p>
    <w:p w14:paraId="60BBCC08" w14:textId="77777777" w:rsidR="00E66EB2" w:rsidRPr="009866F0" w:rsidRDefault="00E66EB2" w:rsidP="005B4A4A">
      <w:pPr>
        <w:pStyle w:val="Laad1"/>
      </w:pPr>
      <w:r w:rsidRPr="009866F0">
        <w:t>Muud tingimused</w:t>
      </w:r>
    </w:p>
    <w:p w14:paraId="14E00123" w14:textId="21111C11" w:rsidR="00112571" w:rsidRPr="009866F0" w:rsidRDefault="00112571" w:rsidP="008A08EF">
      <w:pPr>
        <w:pStyle w:val="Laad2"/>
        <w:tabs>
          <w:tab w:val="left" w:pos="426"/>
        </w:tabs>
        <w:ind w:left="426" w:hanging="426"/>
      </w:pPr>
      <w:bookmarkStart w:id="4" w:name="_Hlk95380030"/>
      <w:r w:rsidRPr="009866F0">
        <w:t xml:space="preserve">.Hankijal on õigus raamlepingu täitmise käigus soetada vastavalt vajadusele lisaks PEE lisas </w:t>
      </w:r>
      <w:r w:rsidR="00A80A19" w:rsidRPr="009866F0">
        <w:t>2.2.</w:t>
      </w:r>
      <w:r w:rsidRPr="009866F0">
        <w:t xml:space="preserve"> loetletud ja raadiolinkide ehitamiseks ja uuendamiseks vajalikele enamlevinud seadmetele, tugistruktuuride seadmetele</w:t>
      </w:r>
      <w:r w:rsidR="00A80A19" w:rsidRPr="009866F0">
        <w:t>, litsentsidele</w:t>
      </w:r>
      <w:r w:rsidRPr="009866F0">
        <w:t xml:space="preserve"> ka selliseid olemasoleva süsteemi varuosasid ja sellega seotud uusi seadmeid, mis ei ole loetletud PEE lisas </w:t>
      </w:r>
      <w:r w:rsidR="00A80A19" w:rsidRPr="009866F0">
        <w:t>2.2</w:t>
      </w:r>
      <w:r w:rsidRPr="009866F0">
        <w:t xml:space="preserve">, kuid mis on vajalikud süsteemi täielikuks toimimiseks ning viimaste hooldus- ja remonttöid. Sellisel juhul palub hankija pakkujal raamlepingu täitmise käigus tehtavate tellimuse esitamisel oma esialgset pakkumust täpsustada. </w:t>
      </w:r>
    </w:p>
    <w:p w14:paraId="7A6157B3" w14:textId="3EE3FBC3" w:rsidR="00F837BB" w:rsidRPr="009866F0" w:rsidRDefault="00112571" w:rsidP="008A08EF">
      <w:pPr>
        <w:pStyle w:val="Laad2"/>
        <w:tabs>
          <w:tab w:val="left" w:pos="426"/>
        </w:tabs>
        <w:ind w:left="426" w:hanging="426"/>
      </w:pPr>
      <w:r w:rsidRPr="009866F0">
        <w:t>PEE lisas</w:t>
      </w:r>
      <w:r w:rsidR="00A80A19" w:rsidRPr="009866F0">
        <w:t xml:space="preserve"> 2.2.</w:t>
      </w:r>
      <w:r w:rsidRPr="009866F0">
        <w:t xml:space="preserve"> nimetatud enamlevinud seadmete, </w:t>
      </w:r>
      <w:r w:rsidR="00A80A19" w:rsidRPr="009866F0">
        <w:t>litsentside</w:t>
      </w:r>
      <w:r w:rsidRPr="009866F0">
        <w:t xml:space="preserve"> ja </w:t>
      </w:r>
      <w:r w:rsidR="003039E8" w:rsidRPr="009866F0">
        <w:t>tarvikute</w:t>
      </w:r>
      <w:r w:rsidRPr="009866F0">
        <w:t xml:space="preserve"> 1 tk hind ja PEE lisas 5 kirjeldatud hinnad fikseeritakse kogu raamleping</w:t>
      </w:r>
      <w:r w:rsidR="00F837BB" w:rsidRPr="009866F0">
        <w:t xml:space="preserve">u </w:t>
      </w:r>
      <w:r w:rsidRPr="009866F0">
        <w:t>täitmise perioodiks ning need kohalduvad konkreetsete toodete</w:t>
      </w:r>
      <w:r w:rsidR="00E752DF" w:rsidRPr="009866F0">
        <w:t>/teenuste</w:t>
      </w:r>
      <w:r w:rsidRPr="009866F0">
        <w:t xml:space="preserve"> osas sõltumata korraga ostetavast toodete</w:t>
      </w:r>
      <w:r w:rsidR="00E752DF" w:rsidRPr="009866F0">
        <w:t>/teenuste</w:t>
      </w:r>
      <w:r w:rsidRPr="009866F0">
        <w:t xml:space="preserve"> kogusest. </w:t>
      </w:r>
    </w:p>
    <w:p w14:paraId="47ADA8B8" w14:textId="2FD6EF53" w:rsidR="00112571" w:rsidRDefault="00112571" w:rsidP="008A08EF">
      <w:pPr>
        <w:pStyle w:val="Laad2"/>
        <w:tabs>
          <w:tab w:val="left" w:pos="426"/>
        </w:tabs>
        <w:ind w:left="426" w:hanging="426"/>
      </w:pPr>
      <w:r w:rsidRPr="009866F0">
        <w:t>PEE lisa</w:t>
      </w:r>
      <w:r w:rsidR="0021434F" w:rsidRPr="009866F0">
        <w:t xml:space="preserve">s </w:t>
      </w:r>
      <w:r w:rsidR="00A80A19" w:rsidRPr="009866F0">
        <w:t>2.2.</w:t>
      </w:r>
      <w:r w:rsidRPr="009866F0">
        <w:t xml:space="preserve"> mittekirjeldatud </w:t>
      </w:r>
      <w:r w:rsidR="0021434F" w:rsidRPr="009866F0">
        <w:t>seadmete, tugistruktuuride seadmete</w:t>
      </w:r>
      <w:r w:rsidR="002A17E1">
        <w:t>, litsentside</w:t>
      </w:r>
      <w:r w:rsidRPr="009866F0">
        <w:t xml:space="preserve">, mida hankija soetab lähtuvalt punktis </w:t>
      </w:r>
      <w:r w:rsidR="00A80A19" w:rsidRPr="009866F0">
        <w:t>7</w:t>
      </w:r>
      <w:r w:rsidR="0021434F" w:rsidRPr="009866F0">
        <w:t>.</w:t>
      </w:r>
      <w:r w:rsidR="007E7830">
        <w:t>1</w:t>
      </w:r>
      <w:r w:rsidRPr="009866F0">
        <w:t>. toodust, hinnad esitatakse igakordselt konkreetse tellimuse alusel.</w:t>
      </w:r>
    </w:p>
    <w:p w14:paraId="4C96301A" w14:textId="6E470126" w:rsidR="002A17E1" w:rsidRPr="00FD3A01" w:rsidRDefault="002561C7" w:rsidP="008A08EF">
      <w:pPr>
        <w:pStyle w:val="Laad2"/>
        <w:tabs>
          <w:tab w:val="left" w:pos="426"/>
        </w:tabs>
        <w:ind w:left="426" w:hanging="426"/>
        <w:rPr>
          <w:u w:val="single"/>
        </w:rPr>
      </w:pPr>
      <w:r w:rsidRPr="00FD3A01">
        <w:rPr>
          <w:u w:val="single"/>
        </w:rPr>
        <w:t xml:space="preserve">Vastavustingimustes nõutud meeskonnaliikmete tingimusi võib täita </w:t>
      </w:r>
      <w:r w:rsidR="00E75B99" w:rsidRPr="00FD3A01">
        <w:rPr>
          <w:u w:val="single"/>
        </w:rPr>
        <w:t xml:space="preserve">ka </w:t>
      </w:r>
      <w:r w:rsidRPr="00FD3A01">
        <w:rPr>
          <w:u w:val="single"/>
        </w:rPr>
        <w:t xml:space="preserve">kahe (2) isikuga, kui need isikud täidavad ära kõik vastavustingistes meeskonnaliikmetele kehtestatud nõuded. </w:t>
      </w:r>
    </w:p>
    <w:p w14:paraId="49F79724" w14:textId="223ADFEF" w:rsidR="005B4A4A" w:rsidRDefault="00594F30" w:rsidP="008A08EF">
      <w:pPr>
        <w:pStyle w:val="Laad2"/>
        <w:tabs>
          <w:tab w:val="left" w:pos="426"/>
        </w:tabs>
        <w:ind w:left="426" w:hanging="426"/>
      </w:pPr>
      <w:r w:rsidRPr="00475480">
        <w:t xml:space="preserve">Hankija ootus huvitatud isikutele on, et pakkujad teavitaks hankijat aegsasti RHR kaudu riigihanke alusdokumentides avastatud vigade, ebatäpsuste ja ebaselguste parandamiseks ja/või teeks ettepaneku pakkujate hinnangul riigihanke eseme hankimiseks seatud ebaproportsionaalsete või </w:t>
      </w:r>
      <w:r w:rsidRPr="00594F30">
        <w:rPr>
          <w:color w:val="000000" w:themeColor="text1"/>
        </w:rPr>
        <w:t xml:space="preserve">põhjendamatute piirangute leevendamiseks.  </w:t>
      </w:r>
      <w:bookmarkEnd w:id="4"/>
    </w:p>
    <w:p w14:paraId="66DFBFB9" w14:textId="77777777" w:rsidR="008A08EF" w:rsidRDefault="00E66EB2" w:rsidP="008A08EF">
      <w:pPr>
        <w:pStyle w:val="Laad2"/>
        <w:tabs>
          <w:tab w:val="left" w:pos="426"/>
        </w:tabs>
        <w:ind w:left="426" w:hanging="426"/>
      </w:pPr>
      <w:r w:rsidRPr="008933E6">
        <w:t>Pakkuja peab talle allkirjastamiseks edastatud lepingu allkirjastama ja hankijale välja saatma hiljemalt 5 tööpäeva jooksul alates päevast, mil hankija selle pakkujale välja saatis. Mõjuval põhjusel võib hankija allkirjastamise tähtaega pikendada, andes edukale pakkujale sellest kirjalikku taasesitamist võimaldavas vormis teada. Antud tähtaja jooksul lepingu allkirjastamisest keeldumist või lepingu täitmisele mitte asumist on hankijal õigus käsitleda, kui edukaks tunnistatud pakkumuse esitanud pakkuja poolset lepingu sõlmimisest keeldumist ja pakkumuse tagasi võtmist RHS § 119 lg 1 mõttes ning sel juhul tegutseb hankija edasi vastavalt RHS-s sätestatule</w:t>
      </w:r>
      <w:r w:rsidR="007A507B" w:rsidRPr="008933E6">
        <w:t>.</w:t>
      </w:r>
    </w:p>
    <w:p w14:paraId="42C86B3E" w14:textId="2D95CCD5" w:rsidR="008A08EF" w:rsidRDefault="008A08EF" w:rsidP="008A08EF">
      <w:pPr>
        <w:pStyle w:val="Laad2"/>
        <w:tabs>
          <w:tab w:val="left" w:pos="426"/>
        </w:tabs>
        <w:ind w:left="426" w:hanging="426"/>
      </w:pPr>
      <w:r w:rsidRPr="008A08EF">
        <w:lastRenderedPageBreak/>
        <w:t xml:space="preserve">Raamlepingu alusel sõlmitavate hankelepingute partneriteks (eelkõige maksjatena) võib hankija kaasata ka kolmandaid osapooli, kelleks võivad olla Siseministeerium ja Siseministeeriumi valitsemisala asutused (Häirekeskus, Politsei- ja Piirivalveamet, Päästeamet, Sisekaitseakadeemia jt). </w:t>
      </w:r>
    </w:p>
    <w:p w14:paraId="346FF43F" w14:textId="77777777" w:rsidR="008A08EF" w:rsidRDefault="007A507B" w:rsidP="008A08EF">
      <w:pPr>
        <w:pStyle w:val="Laad2"/>
        <w:tabs>
          <w:tab w:val="left" w:pos="426"/>
        </w:tabs>
        <w:ind w:left="426" w:hanging="426"/>
      </w:pPr>
      <w:r w:rsidRPr="008933E6">
        <w:t>Pakkuja kohustub kandma kõik pakkumuse ettevalmistamise ja esitamise ning lepingu sõlmimisega seotud kulud. Pakkujale ei hüvitata mis tahes kahju ega kulusid seoses hankemenetluses osalemisega.</w:t>
      </w:r>
    </w:p>
    <w:p w14:paraId="0B4C08BF" w14:textId="77777777" w:rsidR="008A08EF" w:rsidRDefault="000B6B8E" w:rsidP="008A08EF">
      <w:pPr>
        <w:pStyle w:val="Laad2"/>
        <w:tabs>
          <w:tab w:val="left" w:pos="426"/>
        </w:tabs>
        <w:ind w:left="426" w:hanging="426"/>
      </w:pPr>
      <w:r w:rsidRPr="008A08EF">
        <w:t>Riigihankes saavad osaleda ainult pakkujad või taotlejad, kelle elu- või asukoht on Eestis, mõnes muus Euroopa Liidu liikmesriigis, muus Euroopa Majanduspiirkonna lepinguriigis või Maailma Kaubandusorganisatsiooni riigihankelepinguga ühinenud riigis.</w:t>
      </w:r>
      <w:r w:rsidR="00AF2915" w:rsidRPr="008A08EF">
        <w:t xml:space="preserve"> Nõuet rakendatakse ka ühispakkujate ja alltöövõtjate suhtes.</w:t>
      </w:r>
    </w:p>
    <w:p w14:paraId="78B7D4B7" w14:textId="07A79F02" w:rsidR="008A08EF" w:rsidRPr="000573CB" w:rsidRDefault="008A08EF" w:rsidP="008A08EF">
      <w:pPr>
        <w:pStyle w:val="Laad2"/>
        <w:tabs>
          <w:tab w:val="left" w:pos="426"/>
        </w:tabs>
        <w:ind w:left="426" w:hanging="426"/>
      </w:pPr>
      <w:r w:rsidRPr="008A08EF">
        <w:t xml:space="preserve">Pakkumuste esitamise täpne tähtaeg ja kellaaeg täpsustatakse hanke eest vastutava isiku </w:t>
      </w:r>
      <w:r w:rsidRPr="000573CB">
        <w:t xml:space="preserve">poolt enne hanke avaldamist riigihangete registris vastavalt riigihangete seadusele. </w:t>
      </w:r>
    </w:p>
    <w:p w14:paraId="42DD5BC4" w14:textId="5397626B" w:rsidR="000573CB" w:rsidRPr="000573CB" w:rsidRDefault="000573CB" w:rsidP="000573CB">
      <w:pPr>
        <w:pStyle w:val="ListParagraph"/>
        <w:numPr>
          <w:ilvl w:val="1"/>
          <w:numId w:val="5"/>
        </w:numPr>
        <w:ind w:left="426" w:hanging="426"/>
        <w:jc w:val="both"/>
        <w:outlineLvl w:val="0"/>
      </w:pPr>
      <w:r w:rsidRPr="000573CB">
        <w:t>RHR üldandmetesse/hanketeate lahtris "lepingu täitmise tähtaeg" määratud kuupäev tähendab lepingu kehtivust, mitte üksnes täitja kohustuste täitmise tähtaega ning lähtub seetõttu nii täitja</w:t>
      </w:r>
      <w:r>
        <w:t>,</w:t>
      </w:r>
      <w:r w:rsidRPr="000573CB">
        <w:t xml:space="preserve"> kui tellija/maksja kohustuste nõuetekohase täitmise tähtaegadest, sh arve tasumiseks kuluvast ajast. Pakkujal tuleb lepingu sõlmimise korral lähtuda enda kohustuste tähtaegsel täitmisel lepingu projektis või tehnilises kirjelduses määratud täitmise/lepingu eseme tarnimise tähtajast.</w:t>
      </w:r>
    </w:p>
    <w:p w14:paraId="448BD0FD" w14:textId="77777777" w:rsidR="000573CB" w:rsidRPr="008A08EF" w:rsidRDefault="000573CB" w:rsidP="000573CB">
      <w:pPr>
        <w:pStyle w:val="Laad2"/>
        <w:numPr>
          <w:ilvl w:val="0"/>
          <w:numId w:val="0"/>
        </w:numPr>
        <w:tabs>
          <w:tab w:val="left" w:pos="426"/>
        </w:tabs>
        <w:ind w:left="426"/>
      </w:pPr>
    </w:p>
    <w:sectPr w:rsidR="000573CB" w:rsidRPr="008A08EF" w:rsidSect="0011260E">
      <w:headerReference w:type="default" r:id="rId13"/>
      <w:type w:val="continuous"/>
      <w:pgSz w:w="11906" w:h="16838" w:code="9"/>
      <w:pgMar w:top="1417" w:right="1417" w:bottom="1417" w:left="1417" w:header="454"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CFB61" w14:textId="77777777" w:rsidR="001D3D99" w:rsidRDefault="001D3D99">
      <w:r>
        <w:separator/>
      </w:r>
    </w:p>
  </w:endnote>
  <w:endnote w:type="continuationSeparator" w:id="0">
    <w:p w14:paraId="0C024BF0" w14:textId="77777777" w:rsidR="001D3D99" w:rsidRDefault="001D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67FF" w14:textId="77777777" w:rsidR="005A223E" w:rsidRDefault="00C4390F">
    <w:pPr>
      <w:pStyle w:val="Foot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6EEB6800" w14:textId="77777777" w:rsidR="005A223E" w:rsidRDefault="005A2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18"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2268"/>
      <w:gridCol w:w="2268"/>
    </w:tblGrid>
    <w:tr w:rsidR="00B63F9D" w:rsidRPr="00107296" w14:paraId="6EEB6809" w14:textId="77777777" w:rsidTr="005860F7">
      <w:trPr>
        <w:trHeight w:val="87"/>
      </w:trPr>
      <w:tc>
        <w:tcPr>
          <w:tcW w:w="5382" w:type="dxa"/>
        </w:tcPr>
        <w:p w14:paraId="6EEB6803" w14:textId="77777777" w:rsidR="00B63F9D" w:rsidRPr="00107296" w:rsidRDefault="00B63F9D" w:rsidP="00AE1F88">
          <w:pPr>
            <w:autoSpaceDE w:val="0"/>
            <w:autoSpaceDN w:val="0"/>
            <w:adjustRightInd w:val="0"/>
            <w:ind w:left="718"/>
            <w:rPr>
              <w:rFonts w:ascii="Times New Roman" w:hAnsi="Times New Roman" w:cs="Times New Roman"/>
              <w:color w:val="009CDE"/>
              <w:sz w:val="20"/>
              <w:szCs w:val="24"/>
            </w:rPr>
          </w:pPr>
          <w:r w:rsidRPr="00107296">
            <w:rPr>
              <w:rFonts w:ascii="Times New Roman" w:hAnsi="Times New Roman" w:cs="Times New Roman"/>
              <w:color w:val="009CDE"/>
              <w:sz w:val="20"/>
              <w:szCs w:val="24"/>
            </w:rPr>
            <w:t>Siseministeeriumi infotehnoloogia- ja arenduskeskus</w:t>
          </w:r>
        </w:p>
        <w:p w14:paraId="6EEB6804" w14:textId="77777777" w:rsidR="00B63F9D" w:rsidRPr="00107296" w:rsidRDefault="002E7BEB" w:rsidP="00AE1F88">
          <w:pPr>
            <w:pStyle w:val="Footer"/>
            <w:ind w:left="718"/>
            <w:rPr>
              <w:rFonts w:ascii="Times New Roman" w:hAnsi="Times New Roman" w:cs="Times New Roman"/>
              <w:color w:val="009CDE"/>
              <w:sz w:val="20"/>
              <w:szCs w:val="24"/>
            </w:rPr>
          </w:pPr>
          <w:r>
            <w:rPr>
              <w:rFonts w:ascii="Times New Roman" w:hAnsi="Times New Roman" w:cs="Times New Roman"/>
              <w:color w:val="009CDE"/>
              <w:sz w:val="20"/>
              <w:szCs w:val="24"/>
            </w:rPr>
            <w:t>Mäealuse 2/2</w:t>
          </w:r>
          <w:r w:rsidR="00B63F9D" w:rsidRPr="00107296">
            <w:rPr>
              <w:rFonts w:ascii="Times New Roman" w:hAnsi="Times New Roman" w:cs="Times New Roman"/>
              <w:color w:val="009CDE"/>
              <w:sz w:val="20"/>
              <w:szCs w:val="24"/>
            </w:rPr>
            <w:t>, Tallinn 12618</w:t>
          </w:r>
        </w:p>
      </w:tc>
      <w:tc>
        <w:tcPr>
          <w:tcW w:w="2268" w:type="dxa"/>
        </w:tcPr>
        <w:p w14:paraId="6EEB6805"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Telefon 612 6200</w:t>
          </w:r>
        </w:p>
        <w:p w14:paraId="6EEB6806"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E-post smit@smit.ee</w:t>
          </w:r>
        </w:p>
      </w:tc>
      <w:tc>
        <w:tcPr>
          <w:tcW w:w="2268" w:type="dxa"/>
        </w:tcPr>
        <w:p w14:paraId="6EEB6807" w14:textId="77777777" w:rsidR="00B63F9D" w:rsidRPr="00107296" w:rsidRDefault="00B63F9D" w:rsidP="00B63F9D">
          <w:pPr>
            <w:autoSpaceDE w:val="0"/>
            <w:autoSpaceDN w:val="0"/>
            <w:adjustRightInd w:val="0"/>
            <w:rPr>
              <w:rFonts w:ascii="Times New Roman" w:hAnsi="Times New Roman" w:cs="Times New Roman"/>
              <w:color w:val="009CDE"/>
              <w:sz w:val="20"/>
              <w:szCs w:val="24"/>
            </w:rPr>
          </w:pPr>
          <w:r w:rsidRPr="00107296">
            <w:rPr>
              <w:rFonts w:ascii="Times New Roman" w:hAnsi="Times New Roman" w:cs="Times New Roman"/>
              <w:color w:val="009CDE"/>
              <w:sz w:val="20"/>
              <w:szCs w:val="24"/>
            </w:rPr>
            <w:t>Reg. kood 70008440</w:t>
          </w:r>
        </w:p>
        <w:p w14:paraId="6EEB6808" w14:textId="77777777" w:rsidR="00B63F9D" w:rsidRPr="00107296" w:rsidRDefault="00B63F9D" w:rsidP="00B63F9D">
          <w:pPr>
            <w:pStyle w:val="Footer"/>
            <w:rPr>
              <w:rFonts w:ascii="Times New Roman" w:hAnsi="Times New Roman" w:cs="Times New Roman"/>
              <w:color w:val="009CDE"/>
              <w:sz w:val="20"/>
              <w:szCs w:val="24"/>
            </w:rPr>
          </w:pPr>
          <w:r w:rsidRPr="00107296">
            <w:rPr>
              <w:rFonts w:ascii="Times New Roman" w:hAnsi="Times New Roman" w:cs="Times New Roman"/>
              <w:color w:val="009CDE"/>
              <w:sz w:val="20"/>
              <w:szCs w:val="24"/>
            </w:rPr>
            <w:t>www.smit.ee</w:t>
          </w:r>
        </w:p>
      </w:tc>
    </w:tr>
  </w:tbl>
  <w:p w14:paraId="6EEB680A" w14:textId="77777777" w:rsidR="0011260E" w:rsidRPr="0011260E" w:rsidRDefault="0011260E">
    <w:pPr>
      <w:pStyle w:val="Footer"/>
      <w:rPr>
        <w:sz w:val="20"/>
      </w:rPr>
    </w:pP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E8E89" w14:textId="77777777" w:rsidR="001D3D99" w:rsidRDefault="001D3D99">
      <w:r>
        <w:separator/>
      </w:r>
    </w:p>
  </w:footnote>
  <w:footnote w:type="continuationSeparator" w:id="0">
    <w:p w14:paraId="3587E723" w14:textId="77777777" w:rsidR="001D3D99" w:rsidRDefault="001D3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67FB"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end"/>
    </w:r>
  </w:p>
  <w:p w14:paraId="6EEB67FC" w14:textId="77777777" w:rsidR="005A223E" w:rsidRDefault="005A22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67FD" w14:textId="77777777" w:rsidR="005A223E" w:rsidRDefault="00C4390F">
    <w:pPr>
      <w:pStyle w:val="Header"/>
      <w:framePr w:wrap="around"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5A223E">
      <w:rPr>
        <w:rStyle w:val="PageNumber"/>
        <w:noProof/>
      </w:rPr>
      <w:t>2</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8E4339">
      <w:rPr>
        <w:rStyle w:val="PageNumber"/>
        <w:noProof/>
      </w:rPr>
      <w:t>1</w:t>
    </w:r>
    <w:r>
      <w:rPr>
        <w:rStyle w:val="PageNumber"/>
      </w:rPr>
      <w:fldChar w:fldCharType="end"/>
    </w:r>
    <w:r w:rsidR="005A223E">
      <w:rPr>
        <w:rStyle w:val="PageNumber"/>
      </w:rPr>
      <w:t>)</w:t>
    </w:r>
  </w:p>
  <w:p w14:paraId="6EEB67FE" w14:textId="77777777" w:rsidR="005A223E" w:rsidRDefault="005A223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680B" w14:textId="45A5134F" w:rsidR="005A223E" w:rsidRDefault="00C4390F">
    <w:pPr>
      <w:pStyle w:val="Header"/>
      <w:framePr w:wrap="notBeside" w:vAnchor="text" w:hAnchor="margin" w:xAlign="center" w:y="1"/>
      <w:rPr>
        <w:rStyle w:val="PageNumber"/>
      </w:rPr>
    </w:pPr>
    <w:r>
      <w:rPr>
        <w:rStyle w:val="PageNumber"/>
      </w:rPr>
      <w:fldChar w:fldCharType="begin"/>
    </w:r>
    <w:r w:rsidR="005A223E">
      <w:rPr>
        <w:rStyle w:val="PageNumber"/>
      </w:rPr>
      <w:instrText xml:space="preserve">PAGE  </w:instrText>
    </w:r>
    <w:r>
      <w:rPr>
        <w:rStyle w:val="PageNumber"/>
      </w:rPr>
      <w:fldChar w:fldCharType="separate"/>
    </w:r>
    <w:r w:rsidR="00044EE8">
      <w:rPr>
        <w:rStyle w:val="PageNumber"/>
        <w:noProof/>
      </w:rPr>
      <w:t>5</w:t>
    </w:r>
    <w:r>
      <w:rPr>
        <w:rStyle w:val="PageNumber"/>
      </w:rPr>
      <w:fldChar w:fldCharType="end"/>
    </w:r>
    <w:r w:rsidR="005A223E">
      <w:rPr>
        <w:rStyle w:val="PageNumber"/>
      </w:rPr>
      <w:t>(</w:t>
    </w:r>
    <w:r>
      <w:rPr>
        <w:rStyle w:val="PageNumber"/>
      </w:rPr>
      <w:fldChar w:fldCharType="begin"/>
    </w:r>
    <w:r w:rsidR="005A223E">
      <w:rPr>
        <w:rStyle w:val="PageNumber"/>
      </w:rPr>
      <w:instrText xml:space="preserve"> NUMPAGES </w:instrText>
    </w:r>
    <w:r>
      <w:rPr>
        <w:rStyle w:val="PageNumber"/>
      </w:rPr>
      <w:fldChar w:fldCharType="separate"/>
    </w:r>
    <w:r w:rsidR="00044EE8">
      <w:rPr>
        <w:rStyle w:val="PageNumber"/>
        <w:noProof/>
      </w:rPr>
      <w:t>5</w:t>
    </w:r>
    <w:r>
      <w:rPr>
        <w:rStyle w:val="PageNumber"/>
      </w:rPr>
      <w:fldChar w:fldCharType="end"/>
    </w:r>
    <w:r w:rsidR="005A223E">
      <w:rPr>
        <w:rStyle w:val="PageNumber"/>
      </w:rPr>
      <w:t>)</w:t>
    </w:r>
  </w:p>
  <w:p w14:paraId="6EEB680C" w14:textId="77777777" w:rsidR="005A223E" w:rsidRDefault="005A223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4550"/>
    <w:multiLevelType w:val="multilevel"/>
    <w:tmpl w:val="10FE4EF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4A06F5"/>
    <w:multiLevelType w:val="multilevel"/>
    <w:tmpl w:val="FE5A56E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E871C5"/>
    <w:multiLevelType w:val="multilevel"/>
    <w:tmpl w:val="260AD1BA"/>
    <w:lvl w:ilvl="0">
      <w:start w:val="2"/>
      <w:numFmt w:val="decimal"/>
      <w:lvlText w:val="%1."/>
      <w:lvlJc w:val="left"/>
      <w:pPr>
        <w:ind w:left="360" w:hanging="360"/>
      </w:pPr>
      <w:rPr>
        <w:rFonts w:hint="default"/>
        <w:b/>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1AE87E86"/>
    <w:multiLevelType w:val="multilevel"/>
    <w:tmpl w:val="04C8D14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404"/>
        </w:tabs>
        <w:ind w:left="708" w:hanging="708"/>
      </w:pPr>
      <w:rPr>
        <w:rFonts w:cs="Times New Roman" w:hint="default"/>
        <w:b w:val="0"/>
        <w:color w:val="0D0D0D"/>
        <w:sz w:val="24"/>
        <w:szCs w:val="24"/>
        <w:u w:val="none"/>
      </w:rPr>
    </w:lvl>
    <w:lvl w:ilvl="2">
      <w:start w:val="1"/>
      <w:numFmt w:val="decimal"/>
      <w:lvlText w:val="%1.%2.%3."/>
      <w:lvlJc w:val="left"/>
      <w:pPr>
        <w:tabs>
          <w:tab w:val="num" w:pos="487"/>
        </w:tabs>
        <w:ind w:left="624" w:hanging="62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5126"/>
        </w:tabs>
        <w:ind w:left="4910"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0A8110E"/>
    <w:multiLevelType w:val="hybridMultilevel"/>
    <w:tmpl w:val="DF463918"/>
    <w:lvl w:ilvl="0" w:tplc="04250011">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7D2627E"/>
    <w:multiLevelType w:val="multilevel"/>
    <w:tmpl w:val="83E8FD52"/>
    <w:lvl w:ilvl="0">
      <w:start w:val="1"/>
      <w:numFmt w:val="decimal"/>
      <w:pStyle w:val="Loetelu"/>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BD452C7"/>
    <w:multiLevelType w:val="multilevel"/>
    <w:tmpl w:val="B292297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8" w15:restartNumberingAfterBreak="0">
    <w:nsid w:val="50982221"/>
    <w:multiLevelType w:val="hybridMultilevel"/>
    <w:tmpl w:val="186A1924"/>
    <w:lvl w:ilvl="0" w:tplc="7206ADE0">
      <w:start w:val="1"/>
      <w:numFmt w:val="decimal"/>
      <w:lvlText w:val="%1."/>
      <w:lvlJc w:val="left"/>
      <w:pPr>
        <w:ind w:left="927" w:hanging="360"/>
      </w:pPr>
      <w:rPr>
        <w:rFonts w:hint="default"/>
      </w:rPr>
    </w:lvl>
    <w:lvl w:ilvl="1" w:tplc="04250019" w:tentative="1">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9" w15:restartNumberingAfterBreak="0">
    <w:nsid w:val="52A134AF"/>
    <w:multiLevelType w:val="multilevel"/>
    <w:tmpl w:val="2598885C"/>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B346EB"/>
    <w:multiLevelType w:val="multilevel"/>
    <w:tmpl w:val="AFACEF22"/>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5E193DF0"/>
    <w:multiLevelType w:val="multilevel"/>
    <w:tmpl w:val="6588B2A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b w:val="0"/>
        <w:i w:val="0"/>
      </w:rPr>
    </w:lvl>
    <w:lvl w:ilvl="2">
      <w:start w:val="1"/>
      <w:numFmt w:val="decimal"/>
      <w:lvlText w:val="%1.%2.%3."/>
      <w:lvlJc w:val="left"/>
      <w:pPr>
        <w:tabs>
          <w:tab w:val="num" w:pos="720"/>
        </w:tabs>
        <w:ind w:left="720" w:hanging="720"/>
      </w:pPr>
      <w:rPr>
        <w:rFonts w:ascii="Times New Roman" w:eastAsia="Times New Roman" w:hAnsi="Times New Roman" w:cs="Times New Roman"/>
        <w:b w:val="0"/>
        <w:i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26E722F"/>
    <w:multiLevelType w:val="hybridMultilevel"/>
    <w:tmpl w:val="66F068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2C42B04"/>
    <w:multiLevelType w:val="multilevel"/>
    <w:tmpl w:val="0A1AD046"/>
    <w:lvl w:ilvl="0">
      <w:start w:val="1"/>
      <w:numFmt w:val="decimal"/>
      <w:pStyle w:val="Laad1"/>
      <w:lvlText w:val="%1."/>
      <w:lvlJc w:val="left"/>
      <w:pPr>
        <w:ind w:left="360" w:hanging="360"/>
      </w:pPr>
      <w:rPr>
        <w:b/>
        <w:bCs/>
      </w:rPr>
    </w:lvl>
    <w:lvl w:ilvl="1">
      <w:start w:val="1"/>
      <w:numFmt w:val="decimal"/>
      <w:pStyle w:val="Laad2"/>
      <w:lvlText w:val="%1.%2."/>
      <w:lvlJc w:val="left"/>
      <w:pPr>
        <w:ind w:left="574"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39313F2"/>
    <w:multiLevelType w:val="multilevel"/>
    <w:tmpl w:val="486E1CF6"/>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1574583696">
    <w:abstractNumId w:val="14"/>
  </w:num>
  <w:num w:numId="2" w16cid:durableId="1312325459">
    <w:abstractNumId w:val="16"/>
  </w:num>
  <w:num w:numId="3" w16cid:durableId="1136996896">
    <w:abstractNumId w:val="4"/>
  </w:num>
  <w:num w:numId="4" w16cid:durableId="345904359">
    <w:abstractNumId w:val="6"/>
  </w:num>
  <w:num w:numId="5" w16cid:durableId="313686567">
    <w:abstractNumId w:val="13"/>
  </w:num>
  <w:num w:numId="6" w16cid:durableId="1750929700">
    <w:abstractNumId w:val="2"/>
  </w:num>
  <w:num w:numId="7" w16cid:durableId="2088072623">
    <w:abstractNumId w:val="15"/>
  </w:num>
  <w:num w:numId="8" w16cid:durableId="1121146437">
    <w:abstractNumId w:val="11"/>
  </w:num>
  <w:num w:numId="9" w16cid:durableId="1825705621">
    <w:abstractNumId w:val="10"/>
  </w:num>
  <w:num w:numId="10" w16cid:durableId="997994809">
    <w:abstractNumId w:val="0"/>
  </w:num>
  <w:num w:numId="11" w16cid:durableId="1890531545">
    <w:abstractNumId w:val="1"/>
  </w:num>
  <w:num w:numId="12" w16cid:durableId="530343983">
    <w:abstractNumId w:val="8"/>
  </w:num>
  <w:num w:numId="13" w16cid:durableId="685596185">
    <w:abstractNumId w:val="7"/>
  </w:num>
  <w:num w:numId="14" w16cid:durableId="180704039">
    <w:abstractNumId w:val="9"/>
  </w:num>
  <w:num w:numId="15" w16cid:durableId="838272789">
    <w:abstractNumId w:val="5"/>
  </w:num>
  <w:num w:numId="16" w16cid:durableId="378363336">
    <w:abstractNumId w:val="3"/>
  </w:num>
  <w:num w:numId="17" w16cid:durableId="5686140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46"/>
    <w:rsid w:val="00001B68"/>
    <w:rsid w:val="000044BA"/>
    <w:rsid w:val="00006C04"/>
    <w:rsid w:val="00025B23"/>
    <w:rsid w:val="00030432"/>
    <w:rsid w:val="00033BF1"/>
    <w:rsid w:val="00040FFC"/>
    <w:rsid w:val="00044EE8"/>
    <w:rsid w:val="00045774"/>
    <w:rsid w:val="0005359A"/>
    <w:rsid w:val="000573CB"/>
    <w:rsid w:val="00060108"/>
    <w:rsid w:val="00063DAE"/>
    <w:rsid w:val="00064E8C"/>
    <w:rsid w:val="000653E6"/>
    <w:rsid w:val="00066762"/>
    <w:rsid w:val="000676C0"/>
    <w:rsid w:val="00073180"/>
    <w:rsid w:val="00076315"/>
    <w:rsid w:val="000774AD"/>
    <w:rsid w:val="00080A46"/>
    <w:rsid w:val="00091900"/>
    <w:rsid w:val="00092A1F"/>
    <w:rsid w:val="000A3508"/>
    <w:rsid w:val="000B48DB"/>
    <w:rsid w:val="000B5E01"/>
    <w:rsid w:val="000B5E2D"/>
    <w:rsid w:val="000B6B8E"/>
    <w:rsid w:val="000D008B"/>
    <w:rsid w:val="000D2A12"/>
    <w:rsid w:val="000D4F25"/>
    <w:rsid w:val="000D5FCD"/>
    <w:rsid w:val="000E10EA"/>
    <w:rsid w:val="000F3750"/>
    <w:rsid w:val="00110726"/>
    <w:rsid w:val="00111C2C"/>
    <w:rsid w:val="00112571"/>
    <w:rsid w:val="0011260E"/>
    <w:rsid w:val="00123487"/>
    <w:rsid w:val="00126CAC"/>
    <w:rsid w:val="00127FE3"/>
    <w:rsid w:val="0014061E"/>
    <w:rsid w:val="00143CB7"/>
    <w:rsid w:val="00152E9D"/>
    <w:rsid w:val="00153B9E"/>
    <w:rsid w:val="00175B9F"/>
    <w:rsid w:val="00176362"/>
    <w:rsid w:val="00176881"/>
    <w:rsid w:val="001A00E1"/>
    <w:rsid w:val="001A1A1D"/>
    <w:rsid w:val="001B36BA"/>
    <w:rsid w:val="001B3A06"/>
    <w:rsid w:val="001C0536"/>
    <w:rsid w:val="001C3006"/>
    <w:rsid w:val="001D0499"/>
    <w:rsid w:val="001D3D99"/>
    <w:rsid w:val="001D6C8A"/>
    <w:rsid w:val="001E436F"/>
    <w:rsid w:val="001F0C54"/>
    <w:rsid w:val="001F230F"/>
    <w:rsid w:val="002070FB"/>
    <w:rsid w:val="0021434F"/>
    <w:rsid w:val="002149C9"/>
    <w:rsid w:val="002336FE"/>
    <w:rsid w:val="0024420B"/>
    <w:rsid w:val="002561C7"/>
    <w:rsid w:val="00272729"/>
    <w:rsid w:val="0027738A"/>
    <w:rsid w:val="002955D4"/>
    <w:rsid w:val="002A17E1"/>
    <w:rsid w:val="002A21C1"/>
    <w:rsid w:val="002A460A"/>
    <w:rsid w:val="002B5221"/>
    <w:rsid w:val="002B64E8"/>
    <w:rsid w:val="002C06A4"/>
    <w:rsid w:val="002E20B0"/>
    <w:rsid w:val="002E7BEB"/>
    <w:rsid w:val="00301522"/>
    <w:rsid w:val="003022D1"/>
    <w:rsid w:val="003039E8"/>
    <w:rsid w:val="00305DE1"/>
    <w:rsid w:val="00307A59"/>
    <w:rsid w:val="00310A2B"/>
    <w:rsid w:val="00313146"/>
    <w:rsid w:val="00321BED"/>
    <w:rsid w:val="0032377C"/>
    <w:rsid w:val="00323C2B"/>
    <w:rsid w:val="00324077"/>
    <w:rsid w:val="003522CD"/>
    <w:rsid w:val="00353BD2"/>
    <w:rsid w:val="00364627"/>
    <w:rsid w:val="003779EF"/>
    <w:rsid w:val="0038251B"/>
    <w:rsid w:val="0038549F"/>
    <w:rsid w:val="0039759B"/>
    <w:rsid w:val="003B4276"/>
    <w:rsid w:val="003B6C85"/>
    <w:rsid w:val="003D553E"/>
    <w:rsid w:val="003D6C48"/>
    <w:rsid w:val="003D74C9"/>
    <w:rsid w:val="003E4624"/>
    <w:rsid w:val="003E4F4D"/>
    <w:rsid w:val="003E54F4"/>
    <w:rsid w:val="0040295F"/>
    <w:rsid w:val="00403534"/>
    <w:rsid w:val="0040407C"/>
    <w:rsid w:val="00412A6E"/>
    <w:rsid w:val="00415A3B"/>
    <w:rsid w:val="0042230A"/>
    <w:rsid w:val="00424D5E"/>
    <w:rsid w:val="00434FC9"/>
    <w:rsid w:val="004375C0"/>
    <w:rsid w:val="00443716"/>
    <w:rsid w:val="0044392C"/>
    <w:rsid w:val="00455A7C"/>
    <w:rsid w:val="00487B95"/>
    <w:rsid w:val="00490037"/>
    <w:rsid w:val="004C053E"/>
    <w:rsid w:val="004C34CB"/>
    <w:rsid w:val="004C42A5"/>
    <w:rsid w:val="004C4F30"/>
    <w:rsid w:val="004D0159"/>
    <w:rsid w:val="004D1EAE"/>
    <w:rsid w:val="004D57FC"/>
    <w:rsid w:val="004E1EAB"/>
    <w:rsid w:val="004E3E49"/>
    <w:rsid w:val="004E76BE"/>
    <w:rsid w:val="004F0CE9"/>
    <w:rsid w:val="004F76CC"/>
    <w:rsid w:val="004F7D1B"/>
    <w:rsid w:val="00507802"/>
    <w:rsid w:val="005203CE"/>
    <w:rsid w:val="005228FB"/>
    <w:rsid w:val="005437D7"/>
    <w:rsid w:val="00570B8B"/>
    <w:rsid w:val="005776F1"/>
    <w:rsid w:val="0058551A"/>
    <w:rsid w:val="0059442A"/>
    <w:rsid w:val="00594F30"/>
    <w:rsid w:val="005A223E"/>
    <w:rsid w:val="005A7925"/>
    <w:rsid w:val="005B4A4A"/>
    <w:rsid w:val="005B52F9"/>
    <w:rsid w:val="005C7525"/>
    <w:rsid w:val="005D6FDB"/>
    <w:rsid w:val="005E398A"/>
    <w:rsid w:val="005F245C"/>
    <w:rsid w:val="005F3C53"/>
    <w:rsid w:val="005F4A9B"/>
    <w:rsid w:val="00600649"/>
    <w:rsid w:val="0060454D"/>
    <w:rsid w:val="00606743"/>
    <w:rsid w:val="0061789C"/>
    <w:rsid w:val="00623A96"/>
    <w:rsid w:val="0063215E"/>
    <w:rsid w:val="00633B13"/>
    <w:rsid w:val="00636ACE"/>
    <w:rsid w:val="006400A3"/>
    <w:rsid w:val="00660940"/>
    <w:rsid w:val="00674570"/>
    <w:rsid w:val="00677DBA"/>
    <w:rsid w:val="00680610"/>
    <w:rsid w:val="006848B6"/>
    <w:rsid w:val="00684C86"/>
    <w:rsid w:val="00686ED0"/>
    <w:rsid w:val="00691A61"/>
    <w:rsid w:val="0069776C"/>
    <w:rsid w:val="006B10E9"/>
    <w:rsid w:val="006B14E5"/>
    <w:rsid w:val="006C3DE2"/>
    <w:rsid w:val="006C4130"/>
    <w:rsid w:val="006D1E3A"/>
    <w:rsid w:val="006D628C"/>
    <w:rsid w:val="006E69E0"/>
    <w:rsid w:val="006F1A06"/>
    <w:rsid w:val="00720408"/>
    <w:rsid w:val="00722FAF"/>
    <w:rsid w:val="0073735D"/>
    <w:rsid w:val="007402D2"/>
    <w:rsid w:val="00743E43"/>
    <w:rsid w:val="007524BE"/>
    <w:rsid w:val="00777A2F"/>
    <w:rsid w:val="00777A32"/>
    <w:rsid w:val="00792ECB"/>
    <w:rsid w:val="007A507B"/>
    <w:rsid w:val="007A6C6F"/>
    <w:rsid w:val="007B7ACA"/>
    <w:rsid w:val="007C42F2"/>
    <w:rsid w:val="007C5F6F"/>
    <w:rsid w:val="007D3445"/>
    <w:rsid w:val="007E64A2"/>
    <w:rsid w:val="007E7830"/>
    <w:rsid w:val="007E7FE6"/>
    <w:rsid w:val="007F68D7"/>
    <w:rsid w:val="00801BB5"/>
    <w:rsid w:val="008033DC"/>
    <w:rsid w:val="0080358F"/>
    <w:rsid w:val="00816B9C"/>
    <w:rsid w:val="00830CA2"/>
    <w:rsid w:val="00841E8A"/>
    <w:rsid w:val="00843B2E"/>
    <w:rsid w:val="00854DA9"/>
    <w:rsid w:val="0085639C"/>
    <w:rsid w:val="00857748"/>
    <w:rsid w:val="00865017"/>
    <w:rsid w:val="008669EA"/>
    <w:rsid w:val="0087558C"/>
    <w:rsid w:val="008811F1"/>
    <w:rsid w:val="008933E6"/>
    <w:rsid w:val="00895350"/>
    <w:rsid w:val="00896B07"/>
    <w:rsid w:val="008A02BC"/>
    <w:rsid w:val="008A08EF"/>
    <w:rsid w:val="008A3246"/>
    <w:rsid w:val="008A3B3F"/>
    <w:rsid w:val="008A3D1B"/>
    <w:rsid w:val="008A4C3C"/>
    <w:rsid w:val="008B4FAA"/>
    <w:rsid w:val="008B71C6"/>
    <w:rsid w:val="008B7DEA"/>
    <w:rsid w:val="008C2048"/>
    <w:rsid w:val="008D720F"/>
    <w:rsid w:val="008E4339"/>
    <w:rsid w:val="00910004"/>
    <w:rsid w:val="00910DD1"/>
    <w:rsid w:val="00912D8A"/>
    <w:rsid w:val="009225A0"/>
    <w:rsid w:val="009322FD"/>
    <w:rsid w:val="0093578C"/>
    <w:rsid w:val="009454B5"/>
    <w:rsid w:val="00945901"/>
    <w:rsid w:val="009459D9"/>
    <w:rsid w:val="00957CDD"/>
    <w:rsid w:val="00967FA8"/>
    <w:rsid w:val="009866F0"/>
    <w:rsid w:val="00993C51"/>
    <w:rsid w:val="009A2CB8"/>
    <w:rsid w:val="009A2EEE"/>
    <w:rsid w:val="009A4E2A"/>
    <w:rsid w:val="009A7F3E"/>
    <w:rsid w:val="009B1845"/>
    <w:rsid w:val="009C2D6A"/>
    <w:rsid w:val="009F20D3"/>
    <w:rsid w:val="009F3D79"/>
    <w:rsid w:val="00A22554"/>
    <w:rsid w:val="00A23DA4"/>
    <w:rsid w:val="00A30E48"/>
    <w:rsid w:val="00A45B57"/>
    <w:rsid w:val="00A80A19"/>
    <w:rsid w:val="00A81588"/>
    <w:rsid w:val="00A83A2D"/>
    <w:rsid w:val="00A86AC7"/>
    <w:rsid w:val="00A91B31"/>
    <w:rsid w:val="00AB1415"/>
    <w:rsid w:val="00AB6652"/>
    <w:rsid w:val="00AD00F5"/>
    <w:rsid w:val="00AD191E"/>
    <w:rsid w:val="00AD535F"/>
    <w:rsid w:val="00AE1D5F"/>
    <w:rsid w:val="00AE1F88"/>
    <w:rsid w:val="00AF1AF7"/>
    <w:rsid w:val="00AF2915"/>
    <w:rsid w:val="00B04373"/>
    <w:rsid w:val="00B102AB"/>
    <w:rsid w:val="00B115BD"/>
    <w:rsid w:val="00B24CA2"/>
    <w:rsid w:val="00B37332"/>
    <w:rsid w:val="00B40C7B"/>
    <w:rsid w:val="00B52B4A"/>
    <w:rsid w:val="00B54ACF"/>
    <w:rsid w:val="00B618E6"/>
    <w:rsid w:val="00B6218E"/>
    <w:rsid w:val="00B63F9D"/>
    <w:rsid w:val="00B75B37"/>
    <w:rsid w:val="00B76DFE"/>
    <w:rsid w:val="00B80053"/>
    <w:rsid w:val="00BA580E"/>
    <w:rsid w:val="00BC7FE6"/>
    <w:rsid w:val="00BD09A9"/>
    <w:rsid w:val="00BD1538"/>
    <w:rsid w:val="00BD635A"/>
    <w:rsid w:val="00BE3858"/>
    <w:rsid w:val="00BE60D9"/>
    <w:rsid w:val="00BF112B"/>
    <w:rsid w:val="00C04B75"/>
    <w:rsid w:val="00C04DF7"/>
    <w:rsid w:val="00C132AE"/>
    <w:rsid w:val="00C23514"/>
    <w:rsid w:val="00C3156F"/>
    <w:rsid w:val="00C4390F"/>
    <w:rsid w:val="00C4662D"/>
    <w:rsid w:val="00C553CD"/>
    <w:rsid w:val="00C80EF6"/>
    <w:rsid w:val="00C81A7F"/>
    <w:rsid w:val="00C911AD"/>
    <w:rsid w:val="00CB044C"/>
    <w:rsid w:val="00CB2DFB"/>
    <w:rsid w:val="00CC48EC"/>
    <w:rsid w:val="00CD49CB"/>
    <w:rsid w:val="00CE290B"/>
    <w:rsid w:val="00CE57F7"/>
    <w:rsid w:val="00CE7A86"/>
    <w:rsid w:val="00D02782"/>
    <w:rsid w:val="00D04D02"/>
    <w:rsid w:val="00D0735B"/>
    <w:rsid w:val="00D12084"/>
    <w:rsid w:val="00D161FE"/>
    <w:rsid w:val="00D20905"/>
    <w:rsid w:val="00D26B00"/>
    <w:rsid w:val="00D30DBF"/>
    <w:rsid w:val="00D45C60"/>
    <w:rsid w:val="00D52864"/>
    <w:rsid w:val="00D56DE7"/>
    <w:rsid w:val="00D57137"/>
    <w:rsid w:val="00D710F2"/>
    <w:rsid w:val="00D7115F"/>
    <w:rsid w:val="00D7453F"/>
    <w:rsid w:val="00D840B4"/>
    <w:rsid w:val="00D84602"/>
    <w:rsid w:val="00D85494"/>
    <w:rsid w:val="00DC5219"/>
    <w:rsid w:val="00DC739D"/>
    <w:rsid w:val="00DD1961"/>
    <w:rsid w:val="00DE25DF"/>
    <w:rsid w:val="00DE283C"/>
    <w:rsid w:val="00DF69F1"/>
    <w:rsid w:val="00E13C5D"/>
    <w:rsid w:val="00E156E6"/>
    <w:rsid w:val="00E245A5"/>
    <w:rsid w:val="00E27EA6"/>
    <w:rsid w:val="00E469CD"/>
    <w:rsid w:val="00E46AAD"/>
    <w:rsid w:val="00E50DF9"/>
    <w:rsid w:val="00E56BB2"/>
    <w:rsid w:val="00E63F9E"/>
    <w:rsid w:val="00E66EB2"/>
    <w:rsid w:val="00E74712"/>
    <w:rsid w:val="00E752DF"/>
    <w:rsid w:val="00E75B99"/>
    <w:rsid w:val="00E76AEE"/>
    <w:rsid w:val="00E836CC"/>
    <w:rsid w:val="00EA6948"/>
    <w:rsid w:val="00EC780F"/>
    <w:rsid w:val="00ED0E48"/>
    <w:rsid w:val="00ED3814"/>
    <w:rsid w:val="00EF01FF"/>
    <w:rsid w:val="00EF7493"/>
    <w:rsid w:val="00F03DE0"/>
    <w:rsid w:val="00F32C5D"/>
    <w:rsid w:val="00F43C64"/>
    <w:rsid w:val="00F5588A"/>
    <w:rsid w:val="00F56AEE"/>
    <w:rsid w:val="00F65093"/>
    <w:rsid w:val="00F837BB"/>
    <w:rsid w:val="00F91A65"/>
    <w:rsid w:val="00F953A8"/>
    <w:rsid w:val="00FA1E57"/>
    <w:rsid w:val="00FA567E"/>
    <w:rsid w:val="00FB429E"/>
    <w:rsid w:val="00FB4F12"/>
    <w:rsid w:val="00FB513B"/>
    <w:rsid w:val="00FD3A01"/>
    <w:rsid w:val="00FD5A8D"/>
    <w:rsid w:val="00FF39E2"/>
    <w:rsid w:val="00FF73D7"/>
    <w:rsid w:val="00FF767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6EEB67B8"/>
  <w15:docId w15:val="{FFA50293-D5D1-4337-A607-91F336227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22CD"/>
    <w:pPr>
      <w:jc w:val="both"/>
    </w:pPr>
    <w:rPr>
      <w:sz w:val="24"/>
      <w:lang w:eastAsia="en-US"/>
    </w:rPr>
  </w:style>
  <w:style w:type="paragraph" w:styleId="Heading1">
    <w:name w:val="heading 1"/>
    <w:basedOn w:val="Normal"/>
    <w:next w:val="Normal"/>
    <w:qFormat/>
    <w:rsid w:val="003522CD"/>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3522CD"/>
    <w:pPr>
      <w:keepNext/>
      <w:numPr>
        <w:ilvl w:val="1"/>
        <w:numId w:val="2"/>
      </w:numPr>
      <w:spacing w:before="240" w:after="60"/>
      <w:outlineLvl w:val="1"/>
    </w:pPr>
    <w:rPr>
      <w:rFonts w:ascii="Arial" w:hAnsi="Arial"/>
      <w:b/>
      <w:i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2CD"/>
    <w:pPr>
      <w:tabs>
        <w:tab w:val="center" w:pos="4153"/>
        <w:tab w:val="right" w:pos="8306"/>
      </w:tabs>
    </w:pPr>
  </w:style>
  <w:style w:type="paragraph" w:styleId="Footer">
    <w:name w:val="footer"/>
    <w:basedOn w:val="Normal"/>
    <w:link w:val="FooterChar"/>
    <w:rsid w:val="003522CD"/>
    <w:pPr>
      <w:tabs>
        <w:tab w:val="center" w:pos="4153"/>
        <w:tab w:val="right" w:pos="8306"/>
      </w:tabs>
    </w:pPr>
  </w:style>
  <w:style w:type="paragraph" w:styleId="BodyText">
    <w:name w:val="Body Text"/>
    <w:basedOn w:val="Normal"/>
    <w:rsid w:val="003522CD"/>
    <w:pPr>
      <w:spacing w:after="220" w:line="220" w:lineRule="atLeast"/>
    </w:pPr>
    <w:rPr>
      <w:spacing w:val="-5"/>
    </w:rPr>
  </w:style>
  <w:style w:type="character" w:styleId="PageNumber">
    <w:name w:val="page number"/>
    <w:basedOn w:val="DefaultParagraphFont"/>
    <w:rsid w:val="003522CD"/>
  </w:style>
  <w:style w:type="paragraph" w:customStyle="1" w:styleId="Loetelu">
    <w:name w:val="Loetelu"/>
    <w:basedOn w:val="BodyText"/>
    <w:rsid w:val="003522CD"/>
    <w:pPr>
      <w:numPr>
        <w:numId w:val="4"/>
      </w:numPr>
      <w:spacing w:before="120" w:after="0" w:line="240" w:lineRule="auto"/>
    </w:pPr>
    <w:rPr>
      <w:spacing w:val="0"/>
    </w:rPr>
  </w:style>
  <w:style w:type="paragraph" w:customStyle="1" w:styleId="kastitekst">
    <w:name w:val="kastitekst"/>
    <w:basedOn w:val="Normal"/>
    <w:rsid w:val="00DE283C"/>
    <w:pPr>
      <w:jc w:val="right"/>
    </w:pPr>
    <w:rPr>
      <w:sz w:val="22"/>
      <w:szCs w:val="22"/>
    </w:rPr>
  </w:style>
  <w:style w:type="character" w:styleId="Hyperlink">
    <w:name w:val="Hyperlink"/>
    <w:rsid w:val="003522CD"/>
    <w:rPr>
      <w:color w:val="0000FF"/>
      <w:u w:val="single"/>
    </w:rPr>
  </w:style>
  <w:style w:type="character" w:customStyle="1" w:styleId="FooterChar">
    <w:name w:val="Footer Char"/>
    <w:basedOn w:val="DefaultParagraphFont"/>
    <w:link w:val="Footer"/>
    <w:rsid w:val="00B63F9D"/>
    <w:rPr>
      <w:sz w:val="24"/>
      <w:lang w:eastAsia="en-US"/>
    </w:rPr>
  </w:style>
  <w:style w:type="table" w:styleId="TableGrid">
    <w:name w:val="Table Grid"/>
    <w:basedOn w:val="TableNormal"/>
    <w:uiPriority w:val="39"/>
    <w:rsid w:val="00B63F9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Mummuga loetelu Char,Table of contents numbered Char,Loendi l›ik Char"/>
    <w:link w:val="ListParagraph"/>
    <w:uiPriority w:val="34"/>
    <w:locked/>
    <w:rsid w:val="00E66EB2"/>
    <w:rPr>
      <w:sz w:val="24"/>
      <w:szCs w:val="24"/>
    </w:rPr>
  </w:style>
  <w:style w:type="paragraph" w:styleId="ListParagraph">
    <w:name w:val="List Paragraph"/>
    <w:aliases w:val="Mummuga loetelu,Table of contents numbered,Loendi l›ik"/>
    <w:basedOn w:val="Normal"/>
    <w:link w:val="ListParagraphChar"/>
    <w:uiPriority w:val="34"/>
    <w:qFormat/>
    <w:rsid w:val="00E66EB2"/>
    <w:pPr>
      <w:ind w:left="708"/>
      <w:jc w:val="left"/>
    </w:pPr>
    <w:rPr>
      <w:szCs w:val="24"/>
      <w:lang w:eastAsia="et-EE"/>
    </w:rPr>
  </w:style>
  <w:style w:type="paragraph" w:customStyle="1" w:styleId="Default">
    <w:name w:val="Default"/>
    <w:rsid w:val="00E66EB2"/>
    <w:pPr>
      <w:autoSpaceDE w:val="0"/>
      <w:autoSpaceDN w:val="0"/>
      <w:adjustRightInd w:val="0"/>
    </w:pPr>
    <w:rPr>
      <w:rFonts w:eastAsiaTheme="minorHAnsi"/>
      <w:color w:val="000000"/>
      <w:sz w:val="24"/>
      <w:szCs w:val="24"/>
      <w:lang w:eastAsia="en-US"/>
    </w:rPr>
  </w:style>
  <w:style w:type="character" w:styleId="Emphasis">
    <w:name w:val="Emphasis"/>
    <w:basedOn w:val="DefaultParagraphFont"/>
    <w:uiPriority w:val="20"/>
    <w:qFormat/>
    <w:rsid w:val="00E66EB2"/>
    <w:rPr>
      <w:i/>
      <w:iCs/>
    </w:rPr>
  </w:style>
  <w:style w:type="character" w:styleId="CommentReference">
    <w:name w:val="annotation reference"/>
    <w:basedOn w:val="DefaultParagraphFont"/>
    <w:uiPriority w:val="99"/>
    <w:semiHidden/>
    <w:unhideWhenUsed/>
    <w:rsid w:val="000A3508"/>
    <w:rPr>
      <w:sz w:val="16"/>
      <w:szCs w:val="16"/>
    </w:rPr>
  </w:style>
  <w:style w:type="paragraph" w:styleId="CommentText">
    <w:name w:val="annotation text"/>
    <w:basedOn w:val="Normal"/>
    <w:link w:val="CommentTextChar"/>
    <w:uiPriority w:val="99"/>
    <w:unhideWhenUsed/>
    <w:rsid w:val="000A3508"/>
    <w:rPr>
      <w:sz w:val="20"/>
    </w:rPr>
  </w:style>
  <w:style w:type="character" w:customStyle="1" w:styleId="CommentTextChar">
    <w:name w:val="Comment Text Char"/>
    <w:basedOn w:val="DefaultParagraphFont"/>
    <w:link w:val="CommentText"/>
    <w:uiPriority w:val="99"/>
    <w:rsid w:val="000A3508"/>
    <w:rPr>
      <w:lang w:eastAsia="en-US"/>
    </w:rPr>
  </w:style>
  <w:style w:type="paragraph" w:styleId="CommentSubject">
    <w:name w:val="annotation subject"/>
    <w:basedOn w:val="CommentText"/>
    <w:next w:val="CommentText"/>
    <w:link w:val="CommentSubjectChar"/>
    <w:semiHidden/>
    <w:unhideWhenUsed/>
    <w:rsid w:val="000A3508"/>
    <w:rPr>
      <w:b/>
      <w:bCs/>
    </w:rPr>
  </w:style>
  <w:style w:type="character" w:customStyle="1" w:styleId="CommentSubjectChar">
    <w:name w:val="Comment Subject Char"/>
    <w:basedOn w:val="CommentTextChar"/>
    <w:link w:val="CommentSubject"/>
    <w:semiHidden/>
    <w:rsid w:val="000A3508"/>
    <w:rPr>
      <w:b/>
      <w:bCs/>
      <w:lang w:eastAsia="en-US"/>
    </w:rPr>
  </w:style>
  <w:style w:type="paragraph" w:styleId="List3">
    <w:name w:val="List 3"/>
    <w:basedOn w:val="Normal"/>
    <w:uiPriority w:val="99"/>
    <w:qFormat/>
    <w:rsid w:val="00F32C5D"/>
    <w:pPr>
      <w:ind w:left="849" w:hanging="283"/>
      <w:contextualSpacing/>
    </w:pPr>
    <w:rPr>
      <w:rFonts w:eastAsia="Calibri"/>
      <w:szCs w:val="22"/>
    </w:rPr>
  </w:style>
  <w:style w:type="paragraph" w:styleId="NoSpacing">
    <w:name w:val="No Spacing"/>
    <w:link w:val="NoSpacingChar"/>
    <w:uiPriority w:val="1"/>
    <w:qFormat/>
    <w:rsid w:val="00945901"/>
    <w:rPr>
      <w:rFonts w:ascii="Calibri" w:eastAsia="Calibri" w:hAnsi="Calibri"/>
      <w:sz w:val="22"/>
      <w:szCs w:val="22"/>
      <w:lang w:eastAsia="en-US"/>
    </w:rPr>
  </w:style>
  <w:style w:type="character" w:customStyle="1" w:styleId="NoSpacingChar">
    <w:name w:val="No Spacing Char"/>
    <w:basedOn w:val="DefaultParagraphFont"/>
    <w:link w:val="NoSpacing"/>
    <w:uiPriority w:val="1"/>
    <w:rsid w:val="00945901"/>
    <w:rPr>
      <w:rFonts w:ascii="Calibri" w:eastAsia="Calibri" w:hAnsi="Calibri"/>
      <w:sz w:val="22"/>
      <w:szCs w:val="22"/>
      <w:lang w:eastAsia="en-US"/>
    </w:rPr>
  </w:style>
  <w:style w:type="paragraph" w:customStyle="1" w:styleId="Laad1">
    <w:name w:val="Laad1"/>
    <w:basedOn w:val="ListParagraph"/>
    <w:link w:val="Laad1Mrk"/>
    <w:qFormat/>
    <w:rsid w:val="00DD1961"/>
    <w:pPr>
      <w:numPr>
        <w:numId w:val="5"/>
      </w:numPr>
      <w:ind w:left="0"/>
      <w:jc w:val="both"/>
      <w:outlineLvl w:val="0"/>
    </w:pPr>
    <w:rPr>
      <w:b/>
      <w:bCs/>
    </w:rPr>
  </w:style>
  <w:style w:type="paragraph" w:customStyle="1" w:styleId="Laad2">
    <w:name w:val="Laad2"/>
    <w:basedOn w:val="ListParagraph"/>
    <w:link w:val="Laad2Mrk"/>
    <w:qFormat/>
    <w:rsid w:val="005B4A4A"/>
    <w:pPr>
      <w:numPr>
        <w:ilvl w:val="1"/>
        <w:numId w:val="5"/>
      </w:numPr>
      <w:ind w:left="0" w:firstLine="0"/>
      <w:contextualSpacing/>
      <w:jc w:val="both"/>
    </w:pPr>
  </w:style>
  <w:style w:type="character" w:customStyle="1" w:styleId="Laad1Mrk">
    <w:name w:val="Laad1 Märk"/>
    <w:basedOn w:val="ListParagraphChar"/>
    <w:link w:val="Laad1"/>
    <w:rsid w:val="00DD1961"/>
    <w:rPr>
      <w:b/>
      <w:bCs/>
      <w:sz w:val="24"/>
      <w:szCs w:val="24"/>
    </w:rPr>
  </w:style>
  <w:style w:type="character" w:customStyle="1" w:styleId="Laad2Mrk">
    <w:name w:val="Laad2 Märk"/>
    <w:basedOn w:val="ListParagraphChar"/>
    <w:link w:val="Laad2"/>
    <w:rsid w:val="005B4A4A"/>
    <w:rPr>
      <w:sz w:val="24"/>
      <w:szCs w:val="24"/>
    </w:rPr>
  </w:style>
  <w:style w:type="paragraph" w:styleId="BalloonText">
    <w:name w:val="Balloon Text"/>
    <w:basedOn w:val="Normal"/>
    <w:link w:val="BalloonTextChar"/>
    <w:semiHidden/>
    <w:unhideWhenUsed/>
    <w:rsid w:val="00044EE8"/>
    <w:rPr>
      <w:rFonts w:ascii="Segoe UI" w:hAnsi="Segoe UI" w:cs="Segoe UI"/>
      <w:sz w:val="18"/>
      <w:szCs w:val="18"/>
    </w:rPr>
  </w:style>
  <w:style w:type="character" w:customStyle="1" w:styleId="BalloonTextChar">
    <w:name w:val="Balloon Text Char"/>
    <w:basedOn w:val="DefaultParagraphFont"/>
    <w:link w:val="BalloonText"/>
    <w:semiHidden/>
    <w:rsid w:val="00044EE8"/>
    <w:rPr>
      <w:rFonts w:ascii="Segoe UI" w:hAnsi="Segoe UI" w:cs="Segoe UI"/>
      <w:sz w:val="18"/>
      <w:szCs w:val="18"/>
      <w:lang w:eastAsia="en-US"/>
    </w:rPr>
  </w:style>
  <w:style w:type="character" w:customStyle="1" w:styleId="mm">
    <w:name w:val="mm"/>
    <w:basedOn w:val="DefaultParagraphFont"/>
    <w:rsid w:val="00E15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59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BF09E-6B49-45B8-BD9C-6BEA4575E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1597</Words>
  <Characters>9263</Characters>
  <Application>Microsoft Office Word</Application>
  <DocSecurity>0</DocSecurity>
  <Lines>77</Lines>
  <Paragraphs>21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algatuskiri</vt:lpstr>
      <vt:lpstr>algatuskiri</vt:lpstr>
      <vt:lpstr>algatuskiri</vt:lpstr>
    </vt:vector>
  </TitlesOfParts>
  <Company>Siseministeerium</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algatuskiri</dc:title>
  <dc:creator>Kairi Sule</dc:creator>
  <cp:lastModifiedBy>Lagle Sokmann</cp:lastModifiedBy>
  <cp:revision>51</cp:revision>
  <cp:lastPrinted>2014-10-07T07:40:00Z</cp:lastPrinted>
  <dcterms:created xsi:type="dcterms:W3CDTF">2022-10-25T11:04:00Z</dcterms:created>
  <dcterms:modified xsi:type="dcterms:W3CDTF">2023-05-10T10:32:00Z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{JP kehtiv alates}</vt:lpwstr>
  </property>
  <property fmtid="{D5CDD505-2E9C-101B-9397-08002B2CF9AE}" pid="3" name="delta_accessRestrictionEndDate">
    <vt:lpwstr>{JP kehtiv kuni}</vt:lpwstr>
  </property>
  <property fmtid="{D5CDD505-2E9C-101B-9397-08002B2CF9AE}" pid="4" name="delta_accessRestrictionEndDesc">
    <vt:lpwstr>{JP kehtiv kuni kirjeldus}</vt:lpwstr>
  </property>
  <property fmtid="{D5CDD505-2E9C-101B-9397-08002B2CF9AE}" pid="5" name="delta_accessRestrictionReason">
    <vt:lpwstr>{JP alus}</vt:lpwstr>
  </property>
  <property fmtid="{D5CDD505-2E9C-101B-9397-08002B2CF9AE}" pid="6" name="delta_recipientName">
    <vt:lpwstr>{Adressaat}</vt:lpwstr>
  </property>
  <property fmtid="{D5CDD505-2E9C-101B-9397-08002B2CF9AE}" pid="7" name="delta_docName">
    <vt:lpwstr>{Pealkiri}</vt:lpwstr>
  </property>
  <property fmtid="{D5CDD505-2E9C-101B-9397-08002B2CF9AE}" pid="8" name="delta_regDateTime">
    <vt:lpwstr>{reg kpv}</vt:lpwstr>
  </property>
  <property fmtid="{D5CDD505-2E9C-101B-9397-08002B2CF9AE}" pid="9" name="delta_signerName">
    <vt:lpwstr>{Allkirjastaja nimi}</vt:lpwstr>
  </property>
  <property fmtid="{D5CDD505-2E9C-101B-9397-08002B2CF9AE}" pid="10" name="delta_signerJobTitle">
    <vt:lpwstr>{Allkirjastaja ametinimetus}</vt:lpwstr>
  </property>
  <property fmtid="{D5CDD505-2E9C-101B-9397-08002B2CF9AE}" pid="11" name="delta_additionalRecipientName">
    <vt:lpwstr>{Lisaadressaat}</vt:lpwstr>
  </property>
  <property fmtid="{D5CDD505-2E9C-101B-9397-08002B2CF9AE}" pid="12" name="delta_ownerName">
    <vt:lpwstr>{Koostaja nimi}</vt:lpwstr>
  </property>
  <property fmtid="{D5CDD505-2E9C-101B-9397-08002B2CF9AE}" pid="13" name="delta_ownerEmail">
    <vt:lpwstr>{Koostaja e-posti aadress}</vt:lpwstr>
  </property>
  <property fmtid="{D5CDD505-2E9C-101B-9397-08002B2CF9AE}" pid="14" name="delta_ownerPhone">
    <vt:lpwstr>{Koostaja telefon}</vt:lpwstr>
  </property>
  <property fmtid="{D5CDD505-2E9C-101B-9397-08002B2CF9AE}" pid="15" name="delta_senderRegNumber">
    <vt:lpwstr>{Saatja reg nr}</vt:lpwstr>
  </property>
  <property fmtid="{D5CDD505-2E9C-101B-9397-08002B2CF9AE}" pid="16" name="delta_senderRegDate">
    <vt:lpwstr>{Saatja reg kpv}</vt:lpwstr>
  </property>
  <property fmtid="{D5CDD505-2E9C-101B-9397-08002B2CF9AE}" pid="17" name="delta_regNumber">
    <vt:lpwstr>{viit}</vt:lpwstr>
  </property>
  <property fmtid="{D5CDD505-2E9C-101B-9397-08002B2CF9AE}" pid="18" name="delta_recipientName.1">
    <vt:lpwstr>{Adressaat}</vt:lpwstr>
  </property>
  <property fmtid="{D5CDD505-2E9C-101B-9397-08002B2CF9AE}" pid="19" name="delta_additionalRecipientName.1">
    <vt:lpwstr>{Lisaadressaat}</vt:lpwstr>
  </property>
  <property fmtid="{D5CDD505-2E9C-101B-9397-08002B2CF9AE}" pid="20" name="delta_recipientEmail">
    <vt:lpwstr>{Adressaadi e-posti aadress}</vt:lpwstr>
  </property>
  <property fmtid="{D5CDD505-2E9C-101B-9397-08002B2CF9AE}" pid="21" name="delta_additionalRecipientEmail">
    <vt:lpwstr>{Saaja e-posti aadress}</vt:lpwstr>
  </property>
  <property fmtid="{D5CDD505-2E9C-101B-9397-08002B2CF9AE}" pid="22" name="delta_recipientEmai.1l">
    <vt:lpwstr>{Adressaadi e-posti aadress}</vt:lpwstr>
  </property>
  <property fmtid="{D5CDD505-2E9C-101B-9397-08002B2CF9AE}" pid="23" name="delta_additionalRecipientEmail.1">
    <vt:lpwstr>{Saaja e-posti aadress}</vt:lpwstr>
  </property>
  <property fmtid="{D5CDD505-2E9C-101B-9397-08002B2CF9AE}" pid="24" name="delta_recipientEmail.1">
    <vt:lpwstr>{Saaja e-posti aadress}</vt:lpwstr>
  </property>
</Properties>
</file>